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jc w:val="center"/>
        <w:rPr>
          <w:rFonts w:hint="eastAsia" w:eastAsia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宋体" w:asciiTheme="majorHAnsi" w:hAnsiTheme="majorHAnsi" w:cstheme="majorBidi"/>
          <w:b/>
          <w:bCs/>
          <w:sz w:val="32"/>
          <w:szCs w:val="32"/>
        </w:rPr>
        <w:t>农产品期货日报</w:t>
      </w:r>
      <w:r>
        <w:rPr>
          <w:rFonts w:hint="eastAsia" w:eastAsia="宋体" w:asciiTheme="majorHAnsi" w:hAnsiTheme="majorHAnsi" w:cstheme="majorBidi"/>
          <w:b/>
          <w:bCs/>
          <w:sz w:val="32"/>
          <w:szCs w:val="32"/>
          <w:lang w:eastAsia="zh-CN"/>
        </w:rPr>
        <w:t>（</w:t>
      </w:r>
      <w:r>
        <w:rPr>
          <w:rFonts w:hint="eastAsia" w:eastAsia="宋体" w:asciiTheme="majorHAnsi" w:hAnsiTheme="majorHAnsi" w:cstheme="majorBidi"/>
          <w:b/>
          <w:bCs/>
          <w:sz w:val="32"/>
          <w:szCs w:val="32"/>
          <w:lang w:val="en-US" w:eastAsia="zh-CN"/>
        </w:rPr>
        <w:t>2022.3.14</w:t>
      </w:r>
      <w:r>
        <w:rPr>
          <w:rFonts w:hint="eastAsia" w:eastAsia="宋体" w:asciiTheme="majorHAnsi" w:hAnsiTheme="majorHAnsi" w:cstheme="majorBidi"/>
          <w:b/>
          <w:bCs/>
          <w:sz w:val="32"/>
          <w:szCs w:val="32"/>
          <w:lang w:eastAsia="zh-CN"/>
        </w:rPr>
        <w:t>）</w:t>
      </w:r>
    </w:p>
    <w:tbl>
      <w:tblPr>
        <w:tblStyle w:val="10"/>
        <w:tblW w:w="8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172"/>
        <w:gridCol w:w="1173"/>
        <w:gridCol w:w="1174"/>
        <w:gridCol w:w="1174"/>
        <w:gridCol w:w="1174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501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品种</w:t>
            </w:r>
          </w:p>
        </w:tc>
        <w:tc>
          <w:tcPr>
            <w:tcW w:w="1172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T-1日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收盘价</w:t>
            </w:r>
          </w:p>
        </w:tc>
        <w:tc>
          <w:tcPr>
            <w:tcW w:w="1173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T-2日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收盘价</w:t>
            </w:r>
          </w:p>
        </w:tc>
        <w:tc>
          <w:tcPr>
            <w:tcW w:w="1174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涨跌值</w:t>
            </w:r>
          </w:p>
        </w:tc>
        <w:tc>
          <w:tcPr>
            <w:tcW w:w="1174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幅度</w:t>
            </w:r>
          </w:p>
        </w:tc>
        <w:tc>
          <w:tcPr>
            <w:tcW w:w="1174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月度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最低价</w:t>
            </w:r>
          </w:p>
        </w:tc>
        <w:tc>
          <w:tcPr>
            <w:tcW w:w="1172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月度最高价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美豆05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1679.5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1685.25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70AD47" w:themeColor="accent6"/>
                <w:sz w:val="24"/>
                <w:lang w:val="en-US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-5.75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70AD47" w:themeColor="accent6"/>
                <w:sz w:val="24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-0.34%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豆粕05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4186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4130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1.36%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3121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菜粕05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4084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4069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0.37%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2832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蛋白粕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行情</w:t>
            </w:r>
          </w:p>
        </w:tc>
        <w:tc>
          <w:tcPr>
            <w:tcW w:w="703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短期利多驱动减弱，粕类或高位震荡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ind w:firstLine="420" w:firstLineChars="200"/>
              <w:jc w:val="left"/>
            </w:pPr>
          </w:p>
        </w:tc>
        <w:tc>
          <w:tcPr>
            <w:tcW w:w="7039" w:type="dxa"/>
            <w:gridSpan w:val="6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="宋体" w:hAnsi="宋体" w:eastAsia="宋体" w:cs="宋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  <w:lang w:val="en-US" w:eastAsia="zh-CN"/>
              </w:rPr>
              <w:t>上周USDA月度供需报告落地，本次报告数据如期下调南美产量，调整本身利多，但因均在预期之内且调整幅度并不及预期，所以并无意外利多，盘面反而更偏向于呈现出利多出尽后的下跌。短期内天气引发减产的题材对盘面的提振作用有所减弱。最新的美豆出口数据表现良好，再加上国内方面压榨维持偏低水平，近月进口大豆紧缺的格局暂时无解，高基差或仍持续，对粕类盘面形成支撑。所以整体而言粕类也不具备大跌的基础。不过本阶段南美的减产已经较为充分的交易，如果没有额外新的利多，或也较难将期价推升至新高，预计本周粕类高位震荡为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501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品种</w:t>
            </w:r>
          </w:p>
        </w:tc>
        <w:tc>
          <w:tcPr>
            <w:tcW w:w="1172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T-1日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收盘价</w:t>
            </w:r>
          </w:p>
        </w:tc>
        <w:tc>
          <w:tcPr>
            <w:tcW w:w="1173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T-2日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收盘价</w:t>
            </w:r>
          </w:p>
        </w:tc>
        <w:tc>
          <w:tcPr>
            <w:tcW w:w="1174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涨跌值</w:t>
            </w:r>
          </w:p>
        </w:tc>
        <w:tc>
          <w:tcPr>
            <w:tcW w:w="1174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幅度</w:t>
            </w:r>
          </w:p>
        </w:tc>
        <w:tc>
          <w:tcPr>
            <w:tcW w:w="1174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月度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最低价</w:t>
            </w:r>
          </w:p>
        </w:tc>
        <w:tc>
          <w:tcPr>
            <w:tcW w:w="1172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月度最高价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马棕油05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6710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6949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-239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-3.44%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4498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豆油05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10590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10694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B05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70AD47"/>
                <w:kern w:val="0"/>
                <w:sz w:val="24"/>
                <w:szCs w:val="24"/>
                <w:u w:val="none"/>
                <w:lang w:val="en-US" w:eastAsia="zh-CN" w:bidi="ar"/>
              </w:rPr>
              <w:t>-104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B05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70AD47"/>
                <w:kern w:val="0"/>
                <w:sz w:val="24"/>
                <w:szCs w:val="24"/>
                <w:u w:val="none"/>
                <w:lang w:val="en-US" w:eastAsia="zh-CN" w:bidi="ar"/>
              </w:rPr>
              <w:t>-0.97%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8852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菜油05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12922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13068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B05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70AD47"/>
                <w:kern w:val="0"/>
                <w:sz w:val="24"/>
                <w:szCs w:val="24"/>
                <w:u w:val="none"/>
                <w:lang w:val="en-US" w:eastAsia="zh-CN" w:bidi="ar"/>
              </w:rPr>
              <w:t>-146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B05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70AD47"/>
                <w:kern w:val="0"/>
                <w:sz w:val="24"/>
                <w:szCs w:val="24"/>
                <w:u w:val="none"/>
                <w:lang w:val="en-US" w:eastAsia="zh-CN" w:bidi="ar"/>
              </w:rPr>
              <w:t>-1.12%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11550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棕榈油05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12346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12254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B05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B05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0.75%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8552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油脂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行情</w:t>
            </w:r>
          </w:p>
        </w:tc>
        <w:tc>
          <w:tcPr>
            <w:tcW w:w="703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高频产量增幅扩大，油脂调整或仍继续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ind w:firstLine="420" w:firstLineChars="200"/>
              <w:jc w:val="left"/>
            </w:pPr>
          </w:p>
        </w:tc>
        <w:tc>
          <w:tcPr>
            <w:tcW w:w="7039" w:type="dxa"/>
            <w:gridSpan w:val="6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="宋体" w:hAnsi="宋体" w:eastAsia="宋体" w:cs="宋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  <w:lang w:val="en-US" w:eastAsia="zh-CN"/>
              </w:rPr>
              <w:t>上周MPOB月度供需报告落地，产量继续下滑且低于市场预期，但高价对需求的抑制也十分明显，使出口较市场预估的125万吨下滑了15万吨。受到出口低于预期的影响，库存呈现出高于预期的态势，因此整体报告数据偏空。另外最新公布的SPPOMA高频产量增幅加大，且国际油价大跌也对植物油市场产生拖累。不过目前印尼方面再现利多，为维持国内食用油价格的稳定，将棕榈油DMO出口规定从20%提高至30%。国内来看进口利润倒挂仍然明显，国内库存依旧紧张，油脂现实格局依旧强劲。整体来看油脂市场短期多空并存。不过在价格处于极端高位的行情之下，盘面或对边际利空的反映更为敏感，油脂短期或存在一定回调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501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品种</w:t>
            </w:r>
          </w:p>
        </w:tc>
        <w:tc>
          <w:tcPr>
            <w:tcW w:w="1172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T-</w:t>
            </w: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日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收盘价</w:t>
            </w:r>
          </w:p>
        </w:tc>
        <w:tc>
          <w:tcPr>
            <w:tcW w:w="1173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T-</w:t>
            </w: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日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收盘价</w:t>
            </w:r>
          </w:p>
        </w:tc>
        <w:tc>
          <w:tcPr>
            <w:tcW w:w="1174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涨跌值</w:t>
            </w:r>
          </w:p>
        </w:tc>
        <w:tc>
          <w:tcPr>
            <w:tcW w:w="1174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幅度</w:t>
            </w:r>
          </w:p>
        </w:tc>
        <w:tc>
          <w:tcPr>
            <w:tcW w:w="1174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月度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最低价</w:t>
            </w:r>
          </w:p>
        </w:tc>
        <w:tc>
          <w:tcPr>
            <w:tcW w:w="1172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月度最高价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美玉米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05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762.75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754.75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1.06%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635.50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782.75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玉米0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2860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2842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0.63%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2733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行情</w:t>
            </w:r>
          </w:p>
        </w:tc>
        <w:tc>
          <w:tcPr>
            <w:tcW w:w="703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疫情影响外运，连盘或偏强震荡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ind w:firstLine="420" w:firstLineChars="0"/>
              <w:jc w:val="center"/>
            </w:pPr>
          </w:p>
        </w:tc>
        <w:tc>
          <w:tcPr>
            <w:tcW w:w="7039" w:type="dxa"/>
            <w:gridSpan w:val="6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数据来看，节后南北港口玉米库存迅速回升至近年高位，主要深加工企业玉米库存节后变化不大，玉米淀粉企业开机率维持近四年低位、淀粉库存量处于近四年最高、利润回升至近四年高位。整体看，当前东北贸易商建库基本结束，华北地区因疫情影响部分地区封锁，产区贸易商收购积极性一般、后期灵活调价为主，南北港口库存同比维持近年高位，但终端因产品库存高位与原料端价格上涨，需求不强烈。近期，定向稻谷每周百万吨启动投放，一月四百万吨数量并不多，叠加近期中储粮玉米投放，显示出供强需弱的格局，因此基本面玉米不存在大幅上涨的基础。不过，近期山东、吉林等产区疫情反复，对玉米外运存在一定影响，叠加油价高位，运费上涨，俄乌冲突下全球粮食供应紧张，价格下方仍有支撑，尤其是周末吉林疫情严重的消息将对连盘玉米存在情绪刺激，预计期价或震荡偏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501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品种</w:t>
            </w:r>
          </w:p>
        </w:tc>
        <w:tc>
          <w:tcPr>
            <w:tcW w:w="1172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T-1日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收盘价</w:t>
            </w:r>
          </w:p>
        </w:tc>
        <w:tc>
          <w:tcPr>
            <w:tcW w:w="1173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T-2日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收盘价</w:t>
            </w:r>
          </w:p>
        </w:tc>
        <w:tc>
          <w:tcPr>
            <w:tcW w:w="1174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涨跌值</w:t>
            </w:r>
          </w:p>
        </w:tc>
        <w:tc>
          <w:tcPr>
            <w:tcW w:w="1174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幅度</w:t>
            </w:r>
          </w:p>
        </w:tc>
        <w:tc>
          <w:tcPr>
            <w:tcW w:w="1174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月度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最低价</w:t>
            </w:r>
          </w:p>
        </w:tc>
        <w:tc>
          <w:tcPr>
            <w:tcW w:w="1172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月度最高价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生猪05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13130 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13320 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B05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-345 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B05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-1.43%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13130 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14790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行情</w:t>
            </w:r>
          </w:p>
        </w:tc>
        <w:tc>
          <w:tcPr>
            <w:tcW w:w="703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饲料农作物玉米大跌豆粕续涨，生猪期货全线飘绿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2" w:hRule="atLeast"/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ind w:firstLine="420" w:firstLineChars="200"/>
            </w:pPr>
          </w:p>
        </w:tc>
        <w:tc>
          <w:tcPr>
            <w:tcW w:w="7039" w:type="dxa"/>
            <w:gridSpan w:val="6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现货方面，据养猪网数据显示，生猪（外三元）全国价格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连续下跌后在周天迎来小幅反弹，较周六上涨0.06元/公斤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报得12.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元/公斤。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玉米价格在周五创出新高后，周六大幅下跌196元/吨，周天下跌12元/吨，两天合计下跌208元/吨，报得2768元/吨。豆粕价格则在周六、周末连续上涨，合计上涨28元/吨，报得4844元/吨。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息面，农业农村部12日发布，受生产惯性增长影响，当前我国生猪出栏偏多，加上春节后消费淡季猪肉需求下降，猪肉供应出现了阶段性过剩。农业农村部最新监测显示，目前，受供应增加和消费季节性减少双重因素叠加影响，生猪价格持续下行，价格处于2020年以来的低位，养殖企业陷入亏损。监测数据显示，2月全国生猪平均价格为每公斤14.06元，已经跌破平均养殖成本线，出栏一头生猪亏损约150元，上周又跌到每公斤13.21元。而猪肉批发市场上周均价为每公斤18.42元，环比跌3.3%，同比低52.2%，已连续4周下跌。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color w:val="000000" w:themeColor="text1"/>
                <w:szCs w:val="21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货行情方面，生猪主力合约LH2205及远月合约LH2207、LH2209、LH2211全线飘绿。从农业农村部公布的数据和相关表态来看，上半年生猪去化不及预期已逐渐形成共识，或是造成生猪近远月合约全线下跌的重要原因。LH2205续创新低后，技术指标也全部走弱，结合基本面，后续或仍有下跌可能；LH2209下跌过程受到5日和10日均线的强力支撑，后市或仍将维持震荡态势；LH2211技术指标走弱，且上涨受到250日均线压制，但从下跌缩量的情况看，当前点位仍有支撑，操作上或仍可逢低做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501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品种</w:t>
            </w:r>
          </w:p>
        </w:tc>
        <w:tc>
          <w:tcPr>
            <w:tcW w:w="1172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T-</w:t>
            </w: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日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收盘价</w:t>
            </w:r>
          </w:p>
        </w:tc>
        <w:tc>
          <w:tcPr>
            <w:tcW w:w="1173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T-</w:t>
            </w: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日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收盘价</w:t>
            </w:r>
          </w:p>
        </w:tc>
        <w:tc>
          <w:tcPr>
            <w:tcW w:w="1174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涨跌值</w:t>
            </w:r>
          </w:p>
        </w:tc>
        <w:tc>
          <w:tcPr>
            <w:tcW w:w="1174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幅度</w:t>
            </w:r>
          </w:p>
        </w:tc>
        <w:tc>
          <w:tcPr>
            <w:tcW w:w="1174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月度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最低价</w:t>
            </w:r>
          </w:p>
        </w:tc>
        <w:tc>
          <w:tcPr>
            <w:tcW w:w="1172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月度最高价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原糖05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19.26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19.09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0.17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0.89%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17.48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白糖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5859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5850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0.15%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5655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行情</w:t>
            </w:r>
          </w:p>
        </w:tc>
        <w:tc>
          <w:tcPr>
            <w:tcW w:w="703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原糖冲高回落，国内上行乏力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1" w:hRule="atLeast"/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ind w:firstLine="420" w:firstLineChars="0"/>
              <w:jc w:val="center"/>
            </w:pPr>
          </w:p>
        </w:tc>
        <w:tc>
          <w:tcPr>
            <w:tcW w:w="7039" w:type="dxa"/>
            <w:gridSpan w:val="6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全球，印度、泰国压榨高峰，印度产量预期调升，供应增加预期强烈，2021-22榨季供需缺口逐步收紧，期价难有大幅上行。2022-23榨季，俄乌冲突带动油价强势，巴西糖醇比将成为热点。</w:t>
            </w:r>
          </w:p>
          <w:p>
            <w:pPr>
              <w:spacing w:line="360" w:lineRule="auto"/>
              <w:ind w:firstLine="420" w:firstLineChars="2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国内，2月累计产量717.66万吨，处于近五年低位，2月单月产量185.5万吨，环比降低（正常状态），同比处于近七年低位，供应压力小。2月累计销量273万吨，处于近六年低位，单月销量63.1万吨，同比近四年低位，需求绝对量回落。累计产销率38.04%，处于近七年低位，走货速度偏慢。基差-39，零轴附近波动。综合来看，供需两弱，不具备大幅上行基础。近期糖价运行逻辑在于原糖的带动，需关注外围市场变动情况。</w:t>
            </w:r>
          </w:p>
        </w:tc>
      </w:tr>
    </w:tbl>
    <w:p/>
    <w:p>
      <w:pPr>
        <w:spacing w:before="468" w:beforeLines="150" w:after="312" w:afterLine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产业链消息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ind w:firstLine="482" w:firstLineChars="200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美豆方面：</w:t>
      </w:r>
    </w:p>
    <w:p>
      <w:pPr>
        <w:adjustRightInd w:val="0"/>
        <w:spacing w:line="360" w:lineRule="auto"/>
        <w:ind w:firstLine="480" w:firstLineChars="200"/>
        <w:jc w:val="both"/>
        <w:textAlignment w:val="baseline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USDA3月月报上周出炉，下调美国大豆期末库存至2.85亿蒲，2月预期为3.25亿蒲；将巴西2021/22年度大豆产量预期从此前的1.34亿吨下调至1.27亿吨（市场预期为1.2901亿吨）；将阿根廷2021/22年度大豆产量预期从此前的4500万吨下调至4350万吨（市场预期为4339万吨）。本次报告数据如期下调南美产量，调整本身利多，但因均在预期之内且调整幅度并不及预期，所以并无意外利多。</w:t>
      </w:r>
    </w:p>
    <w:p>
      <w:pPr>
        <w:adjustRightInd w:val="0"/>
        <w:spacing w:line="360" w:lineRule="auto"/>
        <w:ind w:firstLine="480" w:firstLineChars="200"/>
        <w:jc w:val="both"/>
        <w:textAlignment w:val="baseline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USDA周四公布的出口销售报告显示，3月3日止当周，美国2021/22年度大豆出口销售净增220.43万吨，将前一周与前四周均值大幅增加，当周，美国2022/23年度大豆出口销售为89.5万吨，整体销售合计位于预期区间上沿。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ind w:firstLine="482" w:firstLineChars="200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南美大豆方面：</w:t>
      </w:r>
    </w:p>
    <w:p>
      <w:pPr>
        <w:adjustRightInd w:val="0"/>
        <w:spacing w:line="360" w:lineRule="auto"/>
        <w:ind w:firstLine="480" w:firstLineChars="200"/>
        <w:jc w:val="both"/>
        <w:textAlignment w:val="baseline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农业咨询机构AgRural上周公布，截至3月4日，巴西2021/22年度大豆收割已完成种植面积的55%，高于之前一周的44%和上年同期的35%，至少处于近六年来同期最高位。但巴西大豆产量预估进一步下调。</w:t>
      </w:r>
    </w:p>
    <w:p>
      <w:pPr>
        <w:adjustRightInd w:val="0"/>
        <w:spacing w:line="360" w:lineRule="auto"/>
        <w:ind w:firstLine="480" w:firstLineChars="200"/>
        <w:jc w:val="both"/>
        <w:textAlignment w:val="baseline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天气方面，周五最后一个降雨系统将推动阵雨向北进入巴西，使阿根廷恢复干燥天气。近来降雨可能对晚播大豆有利，但随之而来的干旱将抹杀降雨带来的好处。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ind w:firstLine="482" w:firstLineChars="200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棕榈油产地方面：</w:t>
      </w:r>
    </w:p>
    <w:p>
      <w:pPr>
        <w:adjustRightInd w:val="0"/>
        <w:spacing w:line="360" w:lineRule="auto"/>
        <w:ind w:firstLine="480" w:firstLineChars="200"/>
        <w:jc w:val="both"/>
        <w:textAlignment w:val="baseline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MPOB2月供需报告显示，马棕油产量为1137448吨，环比减少9.26%，低于此前119万吨的市场预期；库存量为1518293吨，环比减少2.12%，高于此前135-138万吨的市场预期；进口量为149833吨，环比增长112.24%，高于此前12万吨的市场预期；出口量为1097857吨，环比减少5.32%，低于此前125万吨的市场预期。</w:t>
      </w:r>
    </w:p>
    <w:p>
      <w:pPr>
        <w:adjustRightInd w:val="0"/>
        <w:spacing w:line="360" w:lineRule="auto"/>
        <w:ind w:firstLine="480" w:firstLineChars="200"/>
        <w:jc w:val="both"/>
        <w:textAlignment w:val="baseline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SPPOMA上周五发布数据显示，2022年3月1-10日马来西亚油棕鲜果串（FFB）单产环比增加64.97%，出油率下降0.08%，棕榈油产量增加64.55%。</w:t>
      </w:r>
    </w:p>
    <w:p>
      <w:pPr>
        <w:adjustRightInd w:val="0"/>
        <w:spacing w:line="360" w:lineRule="auto"/>
        <w:ind w:firstLine="480" w:firstLineChars="200"/>
        <w:jc w:val="both"/>
        <w:textAlignment w:val="baseline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根据船运调查机构ITS发布的数据显示，马来西亚3月1-10日棕榈油产品出口量为374422吨，较上月同期出口的318078吨增加17.71%。</w:t>
      </w:r>
    </w:p>
    <w:p>
      <w:pPr>
        <w:adjustRightInd w:val="0"/>
        <w:spacing w:line="360" w:lineRule="auto"/>
        <w:ind w:firstLine="480" w:firstLineChars="200"/>
        <w:jc w:val="both"/>
        <w:textAlignment w:val="baseline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印尼贸易部长周三称，该国将要求自上周四开始，出口商将计划出口棕榈油数量的30%在国内按照固定价格销售，而此前，该国政府规定的该比率为20%。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ind w:firstLine="482" w:firstLineChars="200"/>
        <w:jc w:val="lef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国内方面：</w:t>
      </w:r>
    </w:p>
    <w:p>
      <w:pPr>
        <w:adjustRightInd w:val="0"/>
        <w:spacing w:line="360" w:lineRule="auto"/>
        <w:ind w:firstLine="480" w:firstLineChars="200"/>
        <w:jc w:val="both"/>
        <w:textAlignment w:val="baseline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根据Mysteel农产品对全国主要油厂的调查情况显示，上周（3月4日至3月10日）111家油厂大豆实际压榨量为144.1万吨，开机率为50.09%，实际开机率较预估低4.84万吨；较第9周压榨量增加3.93万吨。 预计本周（3月12日至3月18日）国内油厂开机率小幅下降，油厂大豆压榨量预计140.42万吨。</w:t>
      </w:r>
    </w:p>
    <w:p>
      <w:pPr>
        <w:adjustRightInd w:val="0"/>
        <w:spacing w:line="360" w:lineRule="auto"/>
        <w:ind w:firstLine="480" w:firstLineChars="200"/>
        <w:jc w:val="both"/>
        <w:textAlignment w:val="baseline"/>
        <w:rPr>
          <w:rFonts w:hint="default" w:ascii="仿宋" w:hAnsi="仿宋" w:eastAsia="仿宋" w:cs="仿宋"/>
          <w:sz w:val="24"/>
          <w:lang w:val="en-US" w:eastAsia="zh-CN"/>
        </w:rPr>
      </w:pPr>
    </w:p>
    <w:p>
      <w:pPr>
        <w:adjustRightInd w:val="0"/>
        <w:spacing w:line="360" w:lineRule="auto"/>
        <w:ind w:firstLine="480" w:firstLineChars="200"/>
        <w:jc w:val="both"/>
        <w:textAlignment w:val="baseline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（分析师：胡心阁   从业资格号：F03095943  投资咨询号：TN032393</w:t>
      </w:r>
    </w:p>
    <w:p>
      <w:pPr>
        <w:adjustRightInd w:val="0"/>
        <w:spacing w:line="360" w:lineRule="auto"/>
        <w:ind w:firstLine="480" w:firstLineChars="200"/>
        <w:jc w:val="both"/>
        <w:textAlignment w:val="baseline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刘琳     从业资格号：F3031211   投资咨询号：Z0014306）</w:t>
      </w:r>
    </w:p>
    <w:p>
      <w:pPr>
        <w:pStyle w:val="2"/>
        <w:pageBreakBefore/>
        <w:tabs>
          <w:tab w:val="left" w:pos="2257"/>
        </w:tabs>
        <w:spacing w:line="720" w:lineRule="auto"/>
        <w:rPr>
          <w:color w:val="002060"/>
          <w:sz w:val="32"/>
          <w:szCs w:val="32"/>
        </w:rPr>
      </w:pPr>
      <w:r>
        <w:rPr>
          <w:rFonts w:hint="eastAsia" w:ascii="楷体" w:hAnsi="楷体" w:eastAsia="楷体" w:cs="楷体"/>
          <w:color w:val="002060"/>
          <w:sz w:val="32"/>
          <w:szCs w:val="32"/>
        </w:rPr>
        <w:t>免责声明</w:t>
      </w:r>
    </w:p>
    <w:p>
      <w:pPr>
        <w:ind w:left="-141" w:leftChars="-67" w:firstLine="468" w:firstLineChars="223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 xml:space="preserve">本报告基于已公开的信息编制，但对信息的准确性及完整性不作任何保证。本公司力求报告内容客观、公正，但本报告所载的观点、结论和建议仅供参考，不构成个人投资建议。投资者应当充分考虑自身投资经历及习惯、风险承受能力等实际情况，并完整理解和使用本报告内容，不能依靠本报告以取代独立判断。对投资者依据或者使用本报告所造成的一切后果，本公司及作者均不承担任何法律责任。 </w:t>
      </w:r>
    </w:p>
    <w:p>
      <w:pPr>
        <w:ind w:left="-141" w:leftChars="-67" w:firstLine="468" w:firstLineChars="223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 xml:space="preserve">本报告所载的意见、结论及预测仅反映报告发布当日的观点和判断。在不同时期，本公司可能会发出与本报告所载意见、评估及预测不一致的研究报告。本公司不保证本报告所含信息保持在最新状态。本公司对本报告所含信息可在不发出通知的情形下做出修改，投资者应当自行关注相应的更新或修改。 </w:t>
      </w:r>
    </w:p>
    <w:p>
      <w:pPr>
        <w:ind w:left="-141" w:leftChars="-67" w:firstLine="468" w:firstLineChars="223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长安期货有限公司版权所有并保留一切权利。未经本公司书面许可，任何机构或个人不得以翻版、复制、发表、引用或再次分发他人等任何形式侵犯本公司版权。如征得本公司同意进行引用、刊发的，需在允许的范围内使用，并注明出处为“长安期货投资咨询部”，且不得对本报告进行任何有悖原意的引用、删节和修改。本公司保留追究相关责任的权力。所有本报告中使用的商标、服务标记及标记均为本公司的商标、服务标记及标记。</w:t>
      </w:r>
    </w:p>
    <w:p>
      <w:pPr>
        <w:spacing w:line="360" w:lineRule="auto"/>
        <w:jc w:val="left"/>
        <w:rPr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45085</wp:posOffset>
              </wp:positionH>
              <wp:positionV relativeFrom="paragraph">
                <wp:posOffset>213360</wp:posOffset>
              </wp:positionV>
              <wp:extent cx="5219700" cy="11430"/>
              <wp:effectExtent l="0" t="0" r="0" b="0"/>
              <wp:wrapNone/>
              <wp:docPr id="26" name="直接连接符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1143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3.55pt;margin-top:16.8pt;height:0.9pt;width:411pt;mso-position-horizontal-relative:margin;z-index:251667456;mso-width-relative:page;mso-height-relative:page;" filled="f" stroked="t" coordsize="21600,21600" o:gfxdata="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pnjdtYAAAAHAQAADwAAAAAAAAABACAAAAAiAAAA&#10;ZHJzL2Rvd25yZXYueG1sUEsBAhQAFAAAAAgAh07iQBhOMWnQAQAAeAMAAA4AAAAAAAAAAQAgAAAA&#10;JQEAAGRycy9lMm9Eb2MueG1sUEsFBgAAAAAGAAYAWQEAAGcFAAAAAA==&#10;">
              <v:fill on="f" focussize="0,0"/>
              <v:stroke weight="1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仿宋" w:hAnsi="仿宋" w:eastAsia="仿宋" w:cs="仿宋"/>
      </w:rPr>
      <w:t xml:space="preserve">请务必阅读正文后的免责声明部分！                                 </w:t>
    </w:r>
    <w:r>
      <w:rPr>
        <w:rFonts w:hint="eastAsia" w:ascii="楷体" w:hAnsi="楷体" w:eastAsia="楷体" w:cs="楷体"/>
        <w:color w:val="FFC000"/>
        <w:sz w:val="22"/>
        <w:szCs w:val="36"/>
      </w:rPr>
      <w:t>放心的选择 贴心的服务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000080" w:sz="4" w:space="1"/>
      </w:pBdr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3414395</wp:posOffset>
              </wp:positionH>
              <wp:positionV relativeFrom="paragraph">
                <wp:posOffset>20320</wp:posOffset>
              </wp:positionV>
              <wp:extent cx="1875155" cy="347345"/>
              <wp:effectExtent l="4445" t="4445" r="635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5155" cy="347345"/>
                      </a:xfrm>
                      <a:prstGeom prst="rect">
                        <a:avLst/>
                      </a:prstGeom>
                      <a:solidFill>
                        <a:srgbClr val="2F5597">
                          <a:lumMod val="75000"/>
                        </a:srgbClr>
                      </a:solidFill>
                      <a:ln w="6350">
                        <a:solidFill>
                          <a:srgbClr val="2F5597">
                            <a:lumMod val="75000"/>
                          </a:srgbClr>
                        </a:solidFill>
                      </a:ln>
                      <a:effectLst/>
                    </wps:spPr>
                    <wps:txbx>
                      <w:txbxContent>
                        <w:p>
                          <w:pPr>
                            <w:ind w:right="480"/>
                            <w:jc w:val="right"/>
                            <w:rPr>
                              <w:rFonts w:ascii="微软雅黑" w:hAnsi="微软雅黑" w:cs="微软雅黑"/>
                              <w:b/>
                              <w:bCs/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微软雅黑" w:hAnsi="微软雅黑" w:cs="微软雅黑"/>
                              <w:b/>
                              <w:bCs/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长安</w:t>
                          </w:r>
                          <w:r>
                            <w:rPr>
                              <w:rFonts w:hint="eastAsia" w:ascii="微软雅黑" w:hAnsi="微软雅黑" w:cs="微软雅黑"/>
                              <w:b/>
                              <w:bCs/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研究-农产品日报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8.85pt;margin-top:1.6pt;height:27.35pt;width:147.65pt;mso-position-horizontal-relative:margin;z-index:251663360;v-text-anchor:middle;mso-width-relative:page;mso-height-relative:page;" fillcolor="#234071" filled="t" stroked="t" coordsize="21600,21600" o:gfxdata="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p/f0v2AAAAAgBAAAP&#10;AAAAAAAAAAEAIAAAACIAAABkcnMvZG93bnJldi54bWxQSwECFAAUAAAACACHTuJAdoigzFECAAC+&#10;BAAADgAAAAAAAAABACAAAAAnAQAAZHJzL2Uyb0RvYy54bWxQSwUGAAAAAAYABgBZAQAA6gUAAAAA&#10;">
              <v:fill on="t" focussize="0,0"/>
              <v:stroke weight="0.5pt" color="#234071" joinstyle="round"/>
              <v:imagedata o:title=""/>
              <o:lock v:ext="edit" aspectratio="f"/>
              <v:textbox>
                <w:txbxContent>
                  <w:p>
                    <w:pPr>
                      <w:ind w:right="480"/>
                      <w:jc w:val="right"/>
                      <w:rPr>
                        <w:rFonts w:ascii="微软雅黑" w:hAnsi="微软雅黑" w:cs="微软雅黑"/>
                        <w:b/>
                        <w:bCs/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ascii="微软雅黑" w:hAnsi="微软雅黑" w:cs="微软雅黑"/>
                        <w:b/>
                        <w:bCs/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长安</w:t>
                    </w:r>
                    <w:r>
                      <w:rPr>
                        <w:rFonts w:hint="eastAsia" w:ascii="微软雅黑" w:hAnsi="微软雅黑" w:cs="微软雅黑"/>
                        <w:b/>
                        <w:bCs/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研究-农产品日报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1242060" cy="357505"/>
          <wp:effectExtent l="0" t="0" r="15240" b="4445"/>
          <wp:docPr id="5" name="图片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0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2060" cy="357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7EC16"/>
    <w:multiLevelType w:val="singleLevel"/>
    <w:tmpl w:val="3817EC1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47"/>
    <w:rsid w:val="004A3547"/>
    <w:rsid w:val="00616844"/>
    <w:rsid w:val="00FB194E"/>
    <w:rsid w:val="00FC572A"/>
    <w:rsid w:val="02DC66A9"/>
    <w:rsid w:val="02EA3D67"/>
    <w:rsid w:val="03A66646"/>
    <w:rsid w:val="03E047BB"/>
    <w:rsid w:val="045F0977"/>
    <w:rsid w:val="04627993"/>
    <w:rsid w:val="046E1CBE"/>
    <w:rsid w:val="04AF4533"/>
    <w:rsid w:val="05252E4E"/>
    <w:rsid w:val="052B4D40"/>
    <w:rsid w:val="052C5410"/>
    <w:rsid w:val="05AF2B51"/>
    <w:rsid w:val="05BC7D0F"/>
    <w:rsid w:val="05DE5985"/>
    <w:rsid w:val="060843FD"/>
    <w:rsid w:val="069557DF"/>
    <w:rsid w:val="06AB3975"/>
    <w:rsid w:val="0758354C"/>
    <w:rsid w:val="08DD338F"/>
    <w:rsid w:val="09740E87"/>
    <w:rsid w:val="097F19C4"/>
    <w:rsid w:val="0A4B5BF7"/>
    <w:rsid w:val="0A523820"/>
    <w:rsid w:val="0A6B2E6B"/>
    <w:rsid w:val="0A7D5AFF"/>
    <w:rsid w:val="0C67218C"/>
    <w:rsid w:val="0CAC64B7"/>
    <w:rsid w:val="0D4D65BC"/>
    <w:rsid w:val="0D6940E7"/>
    <w:rsid w:val="0E0C611C"/>
    <w:rsid w:val="0E9F3E9A"/>
    <w:rsid w:val="0EA11D76"/>
    <w:rsid w:val="0EAB350E"/>
    <w:rsid w:val="0ED53712"/>
    <w:rsid w:val="0F3D5096"/>
    <w:rsid w:val="10046840"/>
    <w:rsid w:val="102048CE"/>
    <w:rsid w:val="10340E8B"/>
    <w:rsid w:val="105F4CB2"/>
    <w:rsid w:val="10BA67F0"/>
    <w:rsid w:val="10D93867"/>
    <w:rsid w:val="12335E0F"/>
    <w:rsid w:val="12990BBE"/>
    <w:rsid w:val="12C10283"/>
    <w:rsid w:val="14601891"/>
    <w:rsid w:val="149E2A1C"/>
    <w:rsid w:val="15297AC1"/>
    <w:rsid w:val="1576376F"/>
    <w:rsid w:val="15775083"/>
    <w:rsid w:val="15D1307A"/>
    <w:rsid w:val="16081AB6"/>
    <w:rsid w:val="16E50F0B"/>
    <w:rsid w:val="17056C71"/>
    <w:rsid w:val="1724246A"/>
    <w:rsid w:val="1746761E"/>
    <w:rsid w:val="174A0212"/>
    <w:rsid w:val="177B5D6C"/>
    <w:rsid w:val="18455E06"/>
    <w:rsid w:val="18CA5028"/>
    <w:rsid w:val="19150E53"/>
    <w:rsid w:val="197D6BE5"/>
    <w:rsid w:val="19F601C6"/>
    <w:rsid w:val="1A10652E"/>
    <w:rsid w:val="1AEE1C64"/>
    <w:rsid w:val="1B2C0881"/>
    <w:rsid w:val="1C56007A"/>
    <w:rsid w:val="1CA20CE4"/>
    <w:rsid w:val="1CA924F7"/>
    <w:rsid w:val="1CD2203A"/>
    <w:rsid w:val="1D340FDD"/>
    <w:rsid w:val="1D750915"/>
    <w:rsid w:val="1D9B27F8"/>
    <w:rsid w:val="1E2A3EE5"/>
    <w:rsid w:val="1E793D01"/>
    <w:rsid w:val="1EDA387F"/>
    <w:rsid w:val="1F1172E9"/>
    <w:rsid w:val="1F7C46D1"/>
    <w:rsid w:val="1FE85338"/>
    <w:rsid w:val="201C31DA"/>
    <w:rsid w:val="20DB6D36"/>
    <w:rsid w:val="21191711"/>
    <w:rsid w:val="21443079"/>
    <w:rsid w:val="215644FB"/>
    <w:rsid w:val="215A6D63"/>
    <w:rsid w:val="21CC4F3A"/>
    <w:rsid w:val="21D16B2A"/>
    <w:rsid w:val="22427548"/>
    <w:rsid w:val="2272065E"/>
    <w:rsid w:val="239F2486"/>
    <w:rsid w:val="23CB739E"/>
    <w:rsid w:val="23F627F9"/>
    <w:rsid w:val="23F87053"/>
    <w:rsid w:val="243E7ECE"/>
    <w:rsid w:val="254F6CE9"/>
    <w:rsid w:val="25EB1993"/>
    <w:rsid w:val="26B2615C"/>
    <w:rsid w:val="26BA5991"/>
    <w:rsid w:val="283111E8"/>
    <w:rsid w:val="28BB0006"/>
    <w:rsid w:val="28E30356"/>
    <w:rsid w:val="28E4011D"/>
    <w:rsid w:val="29256367"/>
    <w:rsid w:val="2A0741BA"/>
    <w:rsid w:val="2A095A5C"/>
    <w:rsid w:val="2AB91963"/>
    <w:rsid w:val="2AE86E65"/>
    <w:rsid w:val="2AFF326E"/>
    <w:rsid w:val="2B1F4B10"/>
    <w:rsid w:val="2C0F5663"/>
    <w:rsid w:val="2D561BFF"/>
    <w:rsid w:val="2D6A0F76"/>
    <w:rsid w:val="2DE70D8F"/>
    <w:rsid w:val="2E992655"/>
    <w:rsid w:val="2EAF656A"/>
    <w:rsid w:val="2ED02C69"/>
    <w:rsid w:val="2EDD5046"/>
    <w:rsid w:val="2EF44010"/>
    <w:rsid w:val="2F23638D"/>
    <w:rsid w:val="2F747CF3"/>
    <w:rsid w:val="2F8A43DA"/>
    <w:rsid w:val="301B7CFD"/>
    <w:rsid w:val="306A2FA8"/>
    <w:rsid w:val="32CA2470"/>
    <w:rsid w:val="33283376"/>
    <w:rsid w:val="33F57CAD"/>
    <w:rsid w:val="343728ED"/>
    <w:rsid w:val="34C64810"/>
    <w:rsid w:val="3657293F"/>
    <w:rsid w:val="36D676A5"/>
    <w:rsid w:val="38127598"/>
    <w:rsid w:val="38AF3476"/>
    <w:rsid w:val="38D83E54"/>
    <w:rsid w:val="39046BBA"/>
    <w:rsid w:val="3A3C3770"/>
    <w:rsid w:val="3B295E5E"/>
    <w:rsid w:val="3B491D47"/>
    <w:rsid w:val="3B5F1695"/>
    <w:rsid w:val="3BA82B82"/>
    <w:rsid w:val="3BB016EF"/>
    <w:rsid w:val="3DB9548D"/>
    <w:rsid w:val="3DC45D47"/>
    <w:rsid w:val="3DC51E02"/>
    <w:rsid w:val="3F8E10D8"/>
    <w:rsid w:val="3FEA658D"/>
    <w:rsid w:val="4019541B"/>
    <w:rsid w:val="40224B90"/>
    <w:rsid w:val="40625A7C"/>
    <w:rsid w:val="40A040B4"/>
    <w:rsid w:val="411770B6"/>
    <w:rsid w:val="414D4720"/>
    <w:rsid w:val="41507DFB"/>
    <w:rsid w:val="420277AD"/>
    <w:rsid w:val="42083CA9"/>
    <w:rsid w:val="42290450"/>
    <w:rsid w:val="42705A50"/>
    <w:rsid w:val="430560E1"/>
    <w:rsid w:val="431E2E09"/>
    <w:rsid w:val="43D946E6"/>
    <w:rsid w:val="43DB3246"/>
    <w:rsid w:val="455500A6"/>
    <w:rsid w:val="459934D9"/>
    <w:rsid w:val="459C267D"/>
    <w:rsid w:val="45E54ABD"/>
    <w:rsid w:val="45FF2C0E"/>
    <w:rsid w:val="467762D2"/>
    <w:rsid w:val="468B03F2"/>
    <w:rsid w:val="47272FEE"/>
    <w:rsid w:val="4772414E"/>
    <w:rsid w:val="47D806DD"/>
    <w:rsid w:val="47F30534"/>
    <w:rsid w:val="484D7D8A"/>
    <w:rsid w:val="49E078DD"/>
    <w:rsid w:val="4AA56441"/>
    <w:rsid w:val="4AB10CFD"/>
    <w:rsid w:val="4B0335EA"/>
    <w:rsid w:val="4B263C55"/>
    <w:rsid w:val="4B441B92"/>
    <w:rsid w:val="4B741027"/>
    <w:rsid w:val="4B8506AF"/>
    <w:rsid w:val="4B95052D"/>
    <w:rsid w:val="4D2F79EE"/>
    <w:rsid w:val="4D725256"/>
    <w:rsid w:val="4E10679A"/>
    <w:rsid w:val="4F287A6C"/>
    <w:rsid w:val="4FA45FB8"/>
    <w:rsid w:val="4FF97969"/>
    <w:rsid w:val="50EC731B"/>
    <w:rsid w:val="50FC6744"/>
    <w:rsid w:val="510F099E"/>
    <w:rsid w:val="51636AF4"/>
    <w:rsid w:val="51925C5D"/>
    <w:rsid w:val="51A12C1F"/>
    <w:rsid w:val="53176B7B"/>
    <w:rsid w:val="539811D9"/>
    <w:rsid w:val="540C4B55"/>
    <w:rsid w:val="54832ACE"/>
    <w:rsid w:val="54D573C7"/>
    <w:rsid w:val="55004083"/>
    <w:rsid w:val="560A0D83"/>
    <w:rsid w:val="56F75EB8"/>
    <w:rsid w:val="57260412"/>
    <w:rsid w:val="579F3D8B"/>
    <w:rsid w:val="597432D9"/>
    <w:rsid w:val="59B844E8"/>
    <w:rsid w:val="5A6B6EA1"/>
    <w:rsid w:val="5AD540BD"/>
    <w:rsid w:val="5AF81C01"/>
    <w:rsid w:val="5B610054"/>
    <w:rsid w:val="5C3C1389"/>
    <w:rsid w:val="5C434EF1"/>
    <w:rsid w:val="5C6163F8"/>
    <w:rsid w:val="5D4E0A4F"/>
    <w:rsid w:val="5DA42909"/>
    <w:rsid w:val="5E7B4171"/>
    <w:rsid w:val="5EBD3CCB"/>
    <w:rsid w:val="5F2D4EFF"/>
    <w:rsid w:val="5FEB5853"/>
    <w:rsid w:val="601A3555"/>
    <w:rsid w:val="60D96424"/>
    <w:rsid w:val="612F7B6C"/>
    <w:rsid w:val="61343382"/>
    <w:rsid w:val="62074C14"/>
    <w:rsid w:val="623A38AE"/>
    <w:rsid w:val="627C644A"/>
    <w:rsid w:val="62E16ECB"/>
    <w:rsid w:val="6396443D"/>
    <w:rsid w:val="63971E33"/>
    <w:rsid w:val="65041799"/>
    <w:rsid w:val="6588381D"/>
    <w:rsid w:val="661D3518"/>
    <w:rsid w:val="66D72266"/>
    <w:rsid w:val="66FE2A3B"/>
    <w:rsid w:val="674F04BD"/>
    <w:rsid w:val="67E519A5"/>
    <w:rsid w:val="684E6143"/>
    <w:rsid w:val="68C22E69"/>
    <w:rsid w:val="693133D1"/>
    <w:rsid w:val="69A85BB6"/>
    <w:rsid w:val="6A537270"/>
    <w:rsid w:val="6B2E68D8"/>
    <w:rsid w:val="6B7B1AB7"/>
    <w:rsid w:val="6BB4026C"/>
    <w:rsid w:val="6CB94DAF"/>
    <w:rsid w:val="6E2A0193"/>
    <w:rsid w:val="6E536972"/>
    <w:rsid w:val="6EA059B5"/>
    <w:rsid w:val="6F951F0E"/>
    <w:rsid w:val="6FD73476"/>
    <w:rsid w:val="70683043"/>
    <w:rsid w:val="709C5B4A"/>
    <w:rsid w:val="71627700"/>
    <w:rsid w:val="716E1FDA"/>
    <w:rsid w:val="71881007"/>
    <w:rsid w:val="722F4C9B"/>
    <w:rsid w:val="725F798A"/>
    <w:rsid w:val="728A03C3"/>
    <w:rsid w:val="72A93A04"/>
    <w:rsid w:val="72F22E54"/>
    <w:rsid w:val="73785328"/>
    <w:rsid w:val="73CD2B97"/>
    <w:rsid w:val="73DE6210"/>
    <w:rsid w:val="748F131E"/>
    <w:rsid w:val="74CF6D1D"/>
    <w:rsid w:val="757042DF"/>
    <w:rsid w:val="75B44277"/>
    <w:rsid w:val="77603B0D"/>
    <w:rsid w:val="77AC77A1"/>
    <w:rsid w:val="79051089"/>
    <w:rsid w:val="79391FE4"/>
    <w:rsid w:val="79964C4C"/>
    <w:rsid w:val="79E93575"/>
    <w:rsid w:val="7A5805F1"/>
    <w:rsid w:val="7C7236C7"/>
    <w:rsid w:val="7CD84769"/>
    <w:rsid w:val="7CDC6375"/>
    <w:rsid w:val="7D6A58D9"/>
    <w:rsid w:val="7DA260CB"/>
    <w:rsid w:val="7E5434A9"/>
    <w:rsid w:val="7EA2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400"/>
      <w:outlineLvl w:val="0"/>
    </w:pPr>
    <w:rPr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3426</Words>
  <Characters>4061</Characters>
  <Lines>23</Lines>
  <Paragraphs>6</Paragraphs>
  <TotalTime>0</TotalTime>
  <ScaleCrop>false</ScaleCrop>
  <LinksUpToDate>false</LinksUpToDate>
  <CharactersWithSpaces>4076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</cp:lastModifiedBy>
  <dcterms:modified xsi:type="dcterms:W3CDTF">2022-03-14T00:43:18Z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