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jc w:val="center"/>
        <w:rPr>
          <w:rFonts w:hint="eastAsia" w:eastAsia="宋体" w:asciiTheme="majorHAnsi" w:hAnsiTheme="majorHAnsi" w:cstheme="majorBidi"/>
          <w:b/>
          <w:bCs/>
          <w:sz w:val="32"/>
          <w:szCs w:val="32"/>
          <w:lang w:eastAsia="zh-CN"/>
        </w:rPr>
      </w:pPr>
      <w:r>
        <w:rPr>
          <w:rFonts w:hint="eastAsia" w:eastAsia="宋体" w:asciiTheme="majorHAnsi" w:hAnsiTheme="majorHAnsi" w:cstheme="majorBidi"/>
          <w:b/>
          <w:bCs/>
          <w:sz w:val="32"/>
          <w:szCs w:val="32"/>
        </w:rPr>
        <w:t>农产品期货日报</w:t>
      </w:r>
      <w:r>
        <w:rPr>
          <w:rFonts w:hint="eastAsia" w:eastAsia="宋体" w:asciiTheme="majorHAnsi" w:hAnsiTheme="majorHAnsi" w:cstheme="majorBidi"/>
          <w:b/>
          <w:bCs/>
          <w:sz w:val="32"/>
          <w:szCs w:val="32"/>
          <w:lang w:eastAsia="zh-CN"/>
        </w:rPr>
        <w:t>（</w:t>
      </w:r>
      <w:r>
        <w:rPr>
          <w:rFonts w:hint="eastAsia" w:eastAsia="宋体" w:asciiTheme="majorHAnsi" w:hAnsiTheme="majorHAnsi" w:cstheme="majorBidi"/>
          <w:b/>
          <w:bCs/>
          <w:sz w:val="32"/>
          <w:szCs w:val="32"/>
          <w:lang w:val="en-US" w:eastAsia="zh-CN"/>
        </w:rPr>
        <w:t>2022.5.10</w:t>
      </w:r>
      <w:r>
        <w:rPr>
          <w:rFonts w:hint="eastAsia" w:eastAsia="宋体" w:asciiTheme="majorHAnsi" w:hAnsiTheme="majorHAnsi" w:cstheme="majorBidi"/>
          <w:b/>
          <w:bCs/>
          <w:sz w:val="32"/>
          <w:szCs w:val="32"/>
          <w:lang w:eastAsia="zh-CN"/>
        </w:rPr>
        <w:t>）</w:t>
      </w:r>
    </w:p>
    <w:tbl>
      <w:tblPr>
        <w:tblStyle w:val="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139"/>
        <w:gridCol w:w="33"/>
        <w:gridCol w:w="1080"/>
        <w:gridCol w:w="93"/>
        <w:gridCol w:w="1174"/>
        <w:gridCol w:w="38"/>
        <w:gridCol w:w="1136"/>
        <w:gridCol w:w="184"/>
        <w:gridCol w:w="990"/>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501" w:type="dxa"/>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品种</w:t>
            </w:r>
          </w:p>
        </w:tc>
        <w:tc>
          <w:tcPr>
            <w:tcW w:w="1139" w:type="dxa"/>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T-1日收盘价</w:t>
            </w:r>
          </w:p>
        </w:tc>
        <w:tc>
          <w:tcPr>
            <w:tcW w:w="1113" w:type="dxa"/>
            <w:gridSpan w:val="2"/>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T-2日收盘价</w:t>
            </w:r>
          </w:p>
        </w:tc>
        <w:tc>
          <w:tcPr>
            <w:tcW w:w="1305" w:type="dxa"/>
            <w:gridSpan w:val="3"/>
            <w:shd w:val="clear" w:color="auto" w:fill="4472C4" w:themeFill="accent5"/>
            <w:vAlign w:val="center"/>
          </w:tcPr>
          <w:p>
            <w:pPr>
              <w:jc w:val="center"/>
              <w:rPr>
                <w:rFonts w:hint="eastAsia" w:ascii="宋体" w:hAnsi="宋体" w:eastAsia="宋体" w:cs="宋体"/>
                <w:b/>
                <w:bCs/>
                <w:color w:val="FFFFFF" w:themeColor="background1"/>
                <w:sz w:val="24"/>
                <w:lang w:eastAsia="zh-CN"/>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涨跌值</w:t>
            </w:r>
          </w:p>
        </w:tc>
        <w:tc>
          <w:tcPr>
            <w:tcW w:w="1320" w:type="dxa"/>
            <w:gridSpan w:val="2"/>
            <w:shd w:val="clear" w:color="auto" w:fill="4472C4" w:themeFill="accent5"/>
            <w:vAlign w:val="center"/>
          </w:tcPr>
          <w:p>
            <w:pPr>
              <w:jc w:val="center"/>
              <w:rPr>
                <w:rFonts w:hint="eastAsia" w:ascii="宋体" w:hAnsi="宋体" w:eastAsia="宋体" w:cs="宋体"/>
                <w:b/>
                <w:bCs/>
                <w:color w:val="FFFFFF" w:themeColor="background1"/>
                <w:sz w:val="24"/>
                <w:lang w:eastAsia="zh-CN"/>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幅度</w:t>
            </w:r>
          </w:p>
        </w:tc>
        <w:tc>
          <w:tcPr>
            <w:tcW w:w="990" w:type="dxa"/>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月度最低价</w:t>
            </w:r>
          </w:p>
        </w:tc>
        <w:tc>
          <w:tcPr>
            <w:tcW w:w="1172" w:type="dxa"/>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月度最高价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501" w:type="dxa"/>
            <w:vAlign w:val="center"/>
          </w:tcPr>
          <w:p>
            <w:pPr>
              <w:keepNext w:val="0"/>
              <w:keepLines w:val="0"/>
              <w:widowControl/>
              <w:suppressLineNumbers w:val="0"/>
              <w:jc w:val="center"/>
              <w:textAlignment w:val="center"/>
              <w:rPr>
                <w:rFonts w:hint="default" w:ascii="宋体" w:hAnsi="宋体" w:eastAsia="宋体" w:cs="宋体"/>
                <w:b/>
                <w:bCs/>
                <w:kern w:val="2"/>
                <w:sz w:val="24"/>
                <w:szCs w:val="24"/>
                <w:lang w:val="en-US" w:eastAsia="zh-CN" w:bidi="ar-SA"/>
              </w:rPr>
            </w:pPr>
            <w:r>
              <w:rPr>
                <w:rFonts w:hint="eastAsia" w:ascii="宋体" w:hAnsi="宋体" w:eastAsia="宋体" w:cs="宋体"/>
                <w:b/>
                <w:i w:val="0"/>
                <w:color w:val="000000"/>
                <w:kern w:val="0"/>
                <w:sz w:val="24"/>
                <w:szCs w:val="24"/>
                <w:u w:val="none"/>
                <w:lang w:val="en-US" w:eastAsia="zh-CN" w:bidi="ar"/>
              </w:rPr>
              <w:t>生猪09</w:t>
            </w:r>
          </w:p>
        </w:tc>
        <w:tc>
          <w:tcPr>
            <w:tcW w:w="1139" w:type="dxa"/>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19155 </w:t>
            </w:r>
          </w:p>
        </w:tc>
        <w:tc>
          <w:tcPr>
            <w:tcW w:w="1113" w:type="dxa"/>
            <w:gridSpan w:val="2"/>
            <w:vAlign w:val="center"/>
          </w:tcPr>
          <w:p>
            <w:pPr>
              <w:keepNext w:val="0"/>
              <w:keepLines w:val="0"/>
              <w:widowControl/>
              <w:suppressLineNumbers w:val="0"/>
              <w:jc w:val="center"/>
              <w:textAlignment w:val="center"/>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18485 </w:t>
            </w:r>
          </w:p>
        </w:tc>
        <w:tc>
          <w:tcPr>
            <w:tcW w:w="1305" w:type="dxa"/>
            <w:gridSpan w:val="3"/>
            <w:vAlign w:val="center"/>
          </w:tcPr>
          <w:p>
            <w:pPr>
              <w:keepNext w:val="0"/>
              <w:keepLines w:val="0"/>
              <w:widowControl/>
              <w:suppressLineNumbers w:val="0"/>
              <w:jc w:val="center"/>
              <w:textAlignment w:val="center"/>
              <w:rPr>
                <w:rFonts w:hint="default" w:ascii="宋体" w:hAnsi="宋体" w:eastAsia="宋体" w:cs="宋体"/>
                <w:b/>
                <w:bCs/>
                <w:color w:val="00B050"/>
                <w:kern w:val="2"/>
                <w:sz w:val="24"/>
                <w:szCs w:val="24"/>
                <w:lang w:val="en-US" w:eastAsia="zh-CN" w:bidi="ar-SA"/>
              </w:rPr>
            </w:pPr>
            <w:r>
              <w:rPr>
                <w:rFonts w:hint="eastAsia" w:ascii="宋体" w:hAnsi="宋体" w:eastAsia="宋体" w:cs="宋体"/>
                <w:b/>
                <w:i w:val="0"/>
                <w:color w:val="FF0000"/>
                <w:kern w:val="0"/>
                <w:sz w:val="24"/>
                <w:szCs w:val="24"/>
                <w:u w:val="none"/>
                <w:lang w:val="en-US" w:eastAsia="zh-CN" w:bidi="ar"/>
              </w:rPr>
              <w:t xml:space="preserve">670 </w:t>
            </w:r>
          </w:p>
        </w:tc>
        <w:tc>
          <w:tcPr>
            <w:tcW w:w="1320" w:type="dxa"/>
            <w:gridSpan w:val="2"/>
            <w:vAlign w:val="center"/>
          </w:tcPr>
          <w:p>
            <w:pPr>
              <w:keepNext w:val="0"/>
              <w:keepLines w:val="0"/>
              <w:widowControl/>
              <w:suppressLineNumbers w:val="0"/>
              <w:jc w:val="center"/>
              <w:textAlignment w:val="center"/>
              <w:rPr>
                <w:rFonts w:hint="default" w:ascii="宋体" w:hAnsi="宋体" w:eastAsia="宋体" w:cs="宋体"/>
                <w:b/>
                <w:bCs/>
                <w:color w:val="00B050"/>
                <w:kern w:val="2"/>
                <w:sz w:val="24"/>
                <w:szCs w:val="24"/>
                <w:lang w:val="en-US" w:eastAsia="zh-CN" w:bidi="ar-SA"/>
              </w:rPr>
            </w:pPr>
            <w:r>
              <w:rPr>
                <w:rFonts w:hint="eastAsia" w:ascii="宋体" w:hAnsi="宋体" w:eastAsia="宋体" w:cs="宋体"/>
                <w:b/>
                <w:i w:val="0"/>
                <w:color w:val="FF0000"/>
                <w:kern w:val="0"/>
                <w:sz w:val="24"/>
                <w:szCs w:val="24"/>
                <w:u w:val="none"/>
                <w:lang w:val="en-US" w:eastAsia="zh-CN" w:bidi="ar"/>
              </w:rPr>
              <w:t>3.62%</w:t>
            </w:r>
          </w:p>
        </w:tc>
        <w:tc>
          <w:tcPr>
            <w:tcW w:w="990" w:type="dxa"/>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i w:val="0"/>
                <w:color w:val="000000"/>
                <w:kern w:val="0"/>
                <w:sz w:val="24"/>
                <w:szCs w:val="24"/>
                <w:u w:val="none"/>
                <w:lang w:val="en-US" w:eastAsia="zh-CN" w:bidi="ar"/>
              </w:rPr>
              <w:t xml:space="preserve">16640 </w:t>
            </w:r>
          </w:p>
        </w:tc>
        <w:tc>
          <w:tcPr>
            <w:tcW w:w="1172" w:type="dxa"/>
            <w:vAlign w:val="center"/>
          </w:tcPr>
          <w:p>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i w:val="0"/>
                <w:color w:val="000000"/>
                <w:kern w:val="0"/>
                <w:sz w:val="24"/>
                <w:szCs w:val="24"/>
                <w:u w:val="none"/>
                <w:lang w:val="en-US" w:eastAsia="zh-CN" w:bidi="ar"/>
              </w:rPr>
              <w:t xml:space="preserve">19155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501" w:type="dxa"/>
            <w:vMerge w:val="restart"/>
            <w:vAlign w:val="center"/>
          </w:tcPr>
          <w:p>
            <w:pPr>
              <w:jc w:val="center"/>
              <w:rPr>
                <w:rFonts w:ascii="宋体" w:hAnsi="宋体" w:eastAsia="宋体" w:cs="宋体"/>
                <w:b/>
                <w:bCs/>
                <w:sz w:val="24"/>
              </w:rPr>
            </w:pPr>
            <w:r>
              <w:rPr>
                <w:rFonts w:hint="eastAsia" w:ascii="宋体" w:hAnsi="宋体" w:eastAsia="宋体" w:cs="宋体"/>
                <w:b/>
                <w:bCs/>
                <w:sz w:val="24"/>
              </w:rPr>
              <w:t>行情</w:t>
            </w:r>
          </w:p>
        </w:tc>
        <w:tc>
          <w:tcPr>
            <w:tcW w:w="7039" w:type="dxa"/>
            <w:gridSpan w:val="10"/>
            <w:vAlign w:val="center"/>
          </w:tcPr>
          <w:p>
            <w:pPr>
              <w:spacing w:line="360" w:lineRule="auto"/>
              <w:jc w:val="center"/>
              <w:rPr>
                <w:rFonts w:hint="default" w:eastAsiaTheme="minorEastAsia"/>
                <w:b/>
                <w:bCs/>
                <w:szCs w:val="21"/>
                <w:lang w:val="en-US" w:eastAsia="zh-CN"/>
              </w:rPr>
            </w:pPr>
            <w:r>
              <w:rPr>
                <w:rFonts w:hint="eastAsia"/>
                <w:b/>
                <w:bCs/>
                <w:szCs w:val="21"/>
                <w:lang w:val="en-US" w:eastAsia="zh-CN"/>
              </w:rPr>
              <w:t>防疫趋严引调运困难，生猪期货全线大涨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01" w:type="dxa"/>
            <w:vMerge w:val="continue"/>
            <w:vAlign w:val="center"/>
          </w:tcPr>
          <w:p>
            <w:pPr>
              <w:spacing w:line="360" w:lineRule="auto"/>
              <w:ind w:firstLine="420" w:firstLineChars="200"/>
            </w:pPr>
          </w:p>
        </w:tc>
        <w:tc>
          <w:tcPr>
            <w:tcW w:w="7039" w:type="dxa"/>
            <w:gridSpan w:val="10"/>
            <w:vAlign w:val="center"/>
          </w:tcPr>
          <w:p>
            <w:pPr>
              <w:spacing w:line="360" w:lineRule="auto"/>
              <w:ind w:firstLine="420" w:firstLineChars="200"/>
              <w:rPr>
                <w:rFonts w:hint="eastAsia" w:ascii="宋体" w:hAnsi="宋体" w:eastAsia="宋体" w:cs="宋体"/>
                <w:color w:val="000000" w:themeColor="text1"/>
                <w:szCs w:val="21"/>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shd w:val="clear" w:color="auto" w:fill="FFFFFF"/>
                <w:lang w:val="en-US" w:eastAsia="zh-CN"/>
                <w14:textFill>
                  <w14:solidFill>
                    <w14:schemeClr w14:val="tx1"/>
                  </w14:solidFill>
                </w14:textFill>
              </w:rPr>
              <w:t>行情方面，据养猪网数据显示，生猪（外三元）全国价格连续回调后止跌反弹，5月9日报得15.02元/公斤，较周末上涨0.18元/公斤。饲料农作物方面，5月9日玉米价格报得2870元/吨，维持震荡水平；豆粕价格报得4649元/吨，较周末下跌22元/公斤。5月9日猪粮比报得5.23，相较近期高点5.41连续回调。</w:t>
            </w:r>
          </w:p>
          <w:p>
            <w:pPr>
              <w:spacing w:line="360" w:lineRule="auto"/>
              <w:ind w:firstLine="420" w:firstLineChars="200"/>
              <w:rPr>
                <w:rFonts w:hint="default" w:ascii="宋体" w:hAnsi="宋体" w:eastAsia="宋体" w:cs="宋体"/>
                <w:color w:val="000000" w:themeColor="text1"/>
                <w:szCs w:val="21"/>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shd w:val="clear" w:color="auto" w:fill="FFFFFF"/>
                <w:lang w:val="en-US" w:eastAsia="zh-CN"/>
                <w14:textFill>
                  <w14:solidFill>
                    <w14:schemeClr w14:val="tx1"/>
                  </w14:solidFill>
                </w14:textFill>
              </w:rPr>
              <w:t>昨日消息层面，期货行情方面，受疫情防控趋严影响，市场囤货需求高涨，生猪期货合约早盘全线跳空高开，尾盘收得日内高位。据文华财经数据，截至15:00，生猪期货主力合约资金流入7.45亿元，为当日资金流入量最大的商品。截至5月9日，前20名主力持仓量中，多单持仓量为28477手，空单持仓量为40095手，多空比为0.71（上一交易日为0.70）。</w:t>
            </w:r>
          </w:p>
          <w:p>
            <w:pPr>
              <w:spacing w:line="360" w:lineRule="auto"/>
              <w:ind w:firstLine="420" w:firstLineChars="200"/>
              <w:rPr>
                <w:rFonts w:hint="default" w:ascii="宋体" w:hAnsi="宋体" w:eastAsia="宋体" w:cs="宋体"/>
                <w:color w:val="000000" w:themeColor="text1"/>
                <w:szCs w:val="21"/>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shd w:val="clear" w:color="auto" w:fill="FFFFFF"/>
                <w:lang w:val="en-US" w:eastAsia="zh-CN"/>
                <w14:textFill>
                  <w14:solidFill>
                    <w14:schemeClr w14:val="tx1"/>
                  </w14:solidFill>
                </w14:textFill>
              </w:rPr>
              <w:t>从出栏周期角度来看，当前生猪产能保持去化，正在逐步接近产能拐点，作为价格发现工具，产能拐点预期必然在生猪期货价格上及时得到反映。但当前产能去化速度依然偏慢，加之需求偏弱，单纯从产能角度并不能完全解释四月中下旬以来期货价格的快速上扬。疫情导致的调运困难、屠企开工率较低以及由此带来的主被动压栏都是当前以及后市期现货价格的重要变量。从政策层面考虑，在稳增长背景下，无论从保障民生的角度还是从企业纾困的角度，政府部门都希望猪价能够保持相对平稳，既能保证企业生产利润，让经历了超级猪周期后亏损严重的猪企能够活下去，又不至于让生猪和猪肉价格快速上涨，在经济下行压力加大的背景下导致CPI快速上涨。因此我们认为，产能去化持续和产能拐点的临近确实抬升了生猪期货合约价格中枢，但诸多新增变量支撑力度有限，加之政治局会议释放出“保供稳价”、“保障民生”的基本方针，以及产业客户逢高价进场卖保，生猪期货合约或难以维持如此高的升水价格，后市或有回调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501" w:type="dxa"/>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品种</w:t>
            </w:r>
          </w:p>
        </w:tc>
        <w:tc>
          <w:tcPr>
            <w:tcW w:w="1172" w:type="dxa"/>
            <w:gridSpan w:val="2"/>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T-</w:t>
            </w:r>
            <w:r>
              <w:rPr>
                <w:rFonts w:hint="eastAsia" w:ascii="宋体" w:hAnsi="宋体" w:eastAsia="宋体" w:cs="宋体"/>
                <w:b/>
                <w:bCs/>
                <w:color w:val="FFFFFF" w:themeColor="background1"/>
                <w:sz w:val="24"/>
                <w:lang w:val="en-US" w:eastAsia="zh-CN"/>
                <w14:textFill>
                  <w14:solidFill>
                    <w14:schemeClr w14:val="bg1"/>
                  </w14:solidFill>
                </w14:textFill>
              </w:rPr>
              <w:t>1</w:t>
            </w:r>
            <w:r>
              <w:rPr>
                <w:rFonts w:hint="eastAsia" w:ascii="宋体" w:hAnsi="宋体" w:eastAsia="宋体" w:cs="宋体"/>
                <w:b/>
                <w:bCs/>
                <w:color w:val="FFFFFF" w:themeColor="background1"/>
                <w:sz w:val="24"/>
                <w14:textFill>
                  <w14:solidFill>
                    <w14:schemeClr w14:val="bg1"/>
                  </w14:solidFill>
                </w14:textFill>
              </w:rPr>
              <w:t>日</w:t>
            </w:r>
          </w:p>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收盘价</w:t>
            </w:r>
          </w:p>
        </w:tc>
        <w:tc>
          <w:tcPr>
            <w:tcW w:w="1173" w:type="dxa"/>
            <w:gridSpan w:val="2"/>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T-</w:t>
            </w:r>
            <w:r>
              <w:rPr>
                <w:rFonts w:hint="eastAsia" w:ascii="宋体" w:hAnsi="宋体" w:eastAsia="宋体" w:cs="宋体"/>
                <w:b/>
                <w:bCs/>
                <w:color w:val="FFFFFF" w:themeColor="background1"/>
                <w:sz w:val="24"/>
                <w:lang w:val="en-US" w:eastAsia="zh-CN"/>
                <w14:textFill>
                  <w14:solidFill>
                    <w14:schemeClr w14:val="bg1"/>
                  </w14:solidFill>
                </w14:textFill>
              </w:rPr>
              <w:t>2</w:t>
            </w:r>
            <w:r>
              <w:rPr>
                <w:rFonts w:hint="eastAsia" w:ascii="宋体" w:hAnsi="宋体" w:eastAsia="宋体" w:cs="宋体"/>
                <w:b/>
                <w:bCs/>
                <w:color w:val="FFFFFF" w:themeColor="background1"/>
                <w:sz w:val="24"/>
                <w14:textFill>
                  <w14:solidFill>
                    <w14:schemeClr w14:val="bg1"/>
                  </w14:solidFill>
                </w14:textFill>
              </w:rPr>
              <w:t>日</w:t>
            </w:r>
          </w:p>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收盘价</w:t>
            </w:r>
          </w:p>
        </w:tc>
        <w:tc>
          <w:tcPr>
            <w:tcW w:w="1174" w:type="dxa"/>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涨跌值</w:t>
            </w:r>
          </w:p>
        </w:tc>
        <w:tc>
          <w:tcPr>
            <w:tcW w:w="1174" w:type="dxa"/>
            <w:gridSpan w:val="2"/>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幅度</w:t>
            </w:r>
          </w:p>
        </w:tc>
        <w:tc>
          <w:tcPr>
            <w:tcW w:w="1174" w:type="dxa"/>
            <w:gridSpan w:val="2"/>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月度</w:t>
            </w:r>
          </w:p>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最低价</w:t>
            </w:r>
          </w:p>
        </w:tc>
        <w:tc>
          <w:tcPr>
            <w:tcW w:w="1172" w:type="dxa"/>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月度最高价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501" w:type="dxa"/>
            <w:vAlign w:val="center"/>
          </w:tcPr>
          <w:p>
            <w:pPr>
              <w:jc w:val="center"/>
              <w:rPr>
                <w:rFonts w:hint="default" w:ascii="宋体" w:hAnsi="宋体" w:eastAsia="宋体" w:cs="宋体"/>
                <w:b/>
                <w:bCs/>
                <w:sz w:val="24"/>
                <w:lang w:val="en-US" w:eastAsia="zh-CN"/>
              </w:rPr>
            </w:pPr>
            <w:r>
              <w:rPr>
                <w:rFonts w:hint="eastAsia" w:ascii="宋体" w:hAnsi="宋体" w:eastAsia="宋体" w:cs="宋体"/>
                <w:b/>
                <w:bCs/>
                <w:sz w:val="24"/>
              </w:rPr>
              <w:t>美玉米</w:t>
            </w:r>
            <w:r>
              <w:rPr>
                <w:rFonts w:hint="eastAsia" w:ascii="宋体" w:hAnsi="宋体" w:eastAsia="宋体" w:cs="宋体"/>
                <w:b/>
                <w:bCs/>
                <w:sz w:val="24"/>
                <w:lang w:val="en-US" w:eastAsia="zh-CN"/>
              </w:rPr>
              <w:t>07</w:t>
            </w:r>
          </w:p>
        </w:tc>
        <w:tc>
          <w:tcPr>
            <w:tcW w:w="1172" w:type="dxa"/>
            <w:gridSpan w:val="2"/>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772.50</w:t>
            </w:r>
          </w:p>
        </w:tc>
        <w:tc>
          <w:tcPr>
            <w:tcW w:w="1173" w:type="dxa"/>
            <w:gridSpan w:val="2"/>
            <w:vAlign w:val="center"/>
          </w:tcPr>
          <w:p>
            <w:pPr>
              <w:jc w:val="center"/>
              <w:rPr>
                <w:rFonts w:hint="default" w:ascii="宋体" w:hAnsi="宋体" w:eastAsia="宋体" w:cs="宋体"/>
                <w:sz w:val="24"/>
                <w:lang w:val="en-US"/>
              </w:rPr>
            </w:pPr>
            <w:r>
              <w:rPr>
                <w:rFonts w:hint="eastAsia" w:ascii="宋体" w:hAnsi="宋体" w:eastAsia="宋体" w:cs="宋体"/>
                <w:sz w:val="24"/>
                <w:lang w:val="en-US" w:eastAsia="zh-CN"/>
              </w:rPr>
              <w:t>786.50</w:t>
            </w:r>
          </w:p>
        </w:tc>
        <w:tc>
          <w:tcPr>
            <w:tcW w:w="1174" w:type="dxa"/>
            <w:vAlign w:val="center"/>
          </w:tcPr>
          <w:p>
            <w:pPr>
              <w:jc w:val="center"/>
              <w:rPr>
                <w:rFonts w:hint="default" w:ascii="宋体" w:hAnsi="宋体" w:eastAsia="宋体" w:cs="宋体"/>
                <w:b/>
                <w:bCs/>
                <w:color w:val="00B050"/>
                <w:sz w:val="24"/>
                <w:szCs w:val="24"/>
                <w:vertAlign w:val="baseline"/>
                <w:lang w:val="en-US" w:eastAsia="zh-CN"/>
              </w:rPr>
            </w:pPr>
            <w:r>
              <w:rPr>
                <w:rFonts w:hint="eastAsia" w:ascii="宋体" w:hAnsi="宋体" w:eastAsia="宋体" w:cs="宋体"/>
                <w:b/>
                <w:bCs/>
                <w:color w:val="00B050"/>
                <w:sz w:val="24"/>
                <w:szCs w:val="24"/>
                <w:vertAlign w:val="baseline"/>
                <w:lang w:val="en-US" w:eastAsia="zh-CN"/>
              </w:rPr>
              <w:t>14.00</w:t>
            </w:r>
          </w:p>
        </w:tc>
        <w:tc>
          <w:tcPr>
            <w:tcW w:w="1174" w:type="dxa"/>
            <w:gridSpan w:val="2"/>
            <w:vAlign w:val="center"/>
          </w:tcPr>
          <w:p>
            <w:pPr>
              <w:jc w:val="center"/>
              <w:rPr>
                <w:rFonts w:hint="eastAsia" w:ascii="宋体" w:hAnsi="宋体" w:eastAsia="宋体" w:cs="宋体"/>
                <w:b/>
                <w:bCs/>
                <w:color w:val="00B050"/>
                <w:sz w:val="24"/>
                <w:szCs w:val="24"/>
                <w:vertAlign w:val="baseline"/>
                <w:lang w:val="en-US" w:eastAsia="zh-CN"/>
              </w:rPr>
            </w:pPr>
            <w:r>
              <w:rPr>
                <w:rFonts w:hint="eastAsia" w:ascii="宋体" w:hAnsi="宋体" w:eastAsia="宋体" w:cs="宋体"/>
                <w:b/>
                <w:bCs/>
                <w:color w:val="00B050"/>
                <w:sz w:val="24"/>
                <w:szCs w:val="24"/>
                <w:vertAlign w:val="baseline"/>
                <w:lang w:val="en-US" w:eastAsia="zh-CN"/>
              </w:rPr>
              <w:t>1.78%</w:t>
            </w:r>
          </w:p>
        </w:tc>
        <w:tc>
          <w:tcPr>
            <w:tcW w:w="1174" w:type="dxa"/>
            <w:gridSpan w:val="2"/>
            <w:vAlign w:val="center"/>
          </w:tcPr>
          <w:p>
            <w:pPr>
              <w:jc w:val="center"/>
              <w:rPr>
                <w:rFonts w:hint="default" w:ascii="宋体" w:hAnsi="宋体" w:eastAsia="宋体" w:cs="宋体"/>
                <w:sz w:val="24"/>
                <w:lang w:val="en-US"/>
              </w:rPr>
            </w:pPr>
            <w:r>
              <w:rPr>
                <w:rFonts w:hint="eastAsia" w:ascii="宋体" w:hAnsi="宋体" w:eastAsia="宋体" w:cs="宋体"/>
                <w:sz w:val="24"/>
                <w:szCs w:val="24"/>
                <w:vertAlign w:val="baseline"/>
                <w:lang w:val="en-US" w:eastAsia="zh-CN"/>
              </w:rPr>
              <w:t>769.00</w:t>
            </w:r>
          </w:p>
        </w:tc>
        <w:tc>
          <w:tcPr>
            <w:tcW w:w="1172" w:type="dxa"/>
            <w:vAlign w:val="center"/>
          </w:tcPr>
          <w:p>
            <w:pPr>
              <w:jc w:val="center"/>
              <w:rPr>
                <w:rFonts w:hint="default" w:ascii="宋体" w:hAnsi="宋体" w:eastAsia="宋体" w:cs="宋体"/>
                <w:sz w:val="24"/>
                <w:lang w:val="en-US"/>
              </w:rPr>
            </w:pPr>
            <w:r>
              <w:rPr>
                <w:rFonts w:hint="eastAsia" w:ascii="宋体" w:hAnsi="宋体" w:eastAsia="宋体" w:cs="宋体"/>
                <w:sz w:val="24"/>
                <w:szCs w:val="24"/>
                <w:vertAlign w:val="baseline"/>
                <w:lang w:val="en-US" w:eastAsia="zh-CN"/>
              </w:rPr>
              <w:t>824.50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501" w:type="dxa"/>
            <w:vAlign w:val="center"/>
          </w:tcPr>
          <w:p>
            <w:pPr>
              <w:jc w:val="center"/>
              <w:rPr>
                <w:rFonts w:ascii="宋体" w:hAnsi="宋体" w:eastAsia="宋体" w:cs="宋体"/>
                <w:b/>
                <w:bCs/>
                <w:sz w:val="24"/>
              </w:rPr>
            </w:pPr>
            <w:r>
              <w:rPr>
                <w:rFonts w:hint="eastAsia" w:ascii="宋体" w:hAnsi="宋体" w:eastAsia="宋体" w:cs="宋体"/>
                <w:b/>
                <w:bCs/>
                <w:sz w:val="24"/>
              </w:rPr>
              <w:t>玉米0</w:t>
            </w:r>
            <w:r>
              <w:rPr>
                <w:rFonts w:hint="eastAsia" w:ascii="宋体" w:hAnsi="宋体" w:eastAsia="宋体" w:cs="宋体"/>
                <w:b/>
                <w:bCs/>
                <w:sz w:val="24"/>
                <w:lang w:val="en-US" w:eastAsia="zh-CN"/>
              </w:rPr>
              <w:t>9</w:t>
            </w:r>
          </w:p>
        </w:tc>
        <w:tc>
          <w:tcPr>
            <w:tcW w:w="1172" w:type="dxa"/>
            <w:gridSpan w:val="2"/>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2988</w:t>
            </w:r>
          </w:p>
        </w:tc>
        <w:tc>
          <w:tcPr>
            <w:tcW w:w="1173" w:type="dxa"/>
            <w:gridSpan w:val="2"/>
            <w:vAlign w:val="center"/>
          </w:tcPr>
          <w:p>
            <w:pPr>
              <w:jc w:val="center"/>
              <w:rPr>
                <w:rFonts w:hint="default" w:ascii="宋体" w:hAnsi="宋体" w:eastAsia="宋体" w:cs="宋体"/>
                <w:sz w:val="24"/>
                <w:lang w:val="en-US"/>
              </w:rPr>
            </w:pPr>
            <w:r>
              <w:rPr>
                <w:rFonts w:hint="eastAsia" w:ascii="宋体" w:hAnsi="宋体" w:eastAsia="宋体" w:cs="宋体"/>
                <w:sz w:val="24"/>
                <w:lang w:val="en-US" w:eastAsia="zh-CN"/>
              </w:rPr>
              <w:t>2991</w:t>
            </w:r>
          </w:p>
        </w:tc>
        <w:tc>
          <w:tcPr>
            <w:tcW w:w="1174" w:type="dxa"/>
            <w:vAlign w:val="center"/>
          </w:tcPr>
          <w:p>
            <w:pPr>
              <w:jc w:val="center"/>
              <w:rPr>
                <w:rFonts w:hint="default" w:ascii="宋体" w:hAnsi="宋体" w:eastAsia="宋体" w:cs="宋体"/>
                <w:b/>
                <w:bCs/>
                <w:color w:val="00B050"/>
                <w:sz w:val="24"/>
                <w:szCs w:val="24"/>
                <w:vertAlign w:val="baseline"/>
                <w:lang w:val="en-US" w:eastAsia="zh-CN"/>
              </w:rPr>
            </w:pPr>
            <w:r>
              <w:rPr>
                <w:rFonts w:hint="eastAsia" w:ascii="宋体" w:hAnsi="宋体" w:eastAsia="宋体" w:cs="宋体"/>
                <w:b/>
                <w:bCs/>
                <w:color w:val="00B050"/>
                <w:sz w:val="24"/>
                <w:szCs w:val="24"/>
                <w:vertAlign w:val="baseline"/>
                <w:lang w:val="en-US" w:eastAsia="zh-CN"/>
              </w:rPr>
              <w:t>3</w:t>
            </w:r>
          </w:p>
        </w:tc>
        <w:tc>
          <w:tcPr>
            <w:tcW w:w="1174" w:type="dxa"/>
            <w:gridSpan w:val="2"/>
            <w:vAlign w:val="center"/>
          </w:tcPr>
          <w:p>
            <w:pPr>
              <w:jc w:val="center"/>
              <w:rPr>
                <w:rFonts w:hint="eastAsia" w:ascii="宋体" w:hAnsi="宋体" w:eastAsia="宋体" w:cs="宋体"/>
                <w:b/>
                <w:bCs/>
                <w:color w:val="00B050"/>
                <w:sz w:val="24"/>
                <w:szCs w:val="24"/>
                <w:vertAlign w:val="baseline"/>
                <w:lang w:val="en-US" w:eastAsia="zh-CN"/>
              </w:rPr>
            </w:pPr>
            <w:r>
              <w:rPr>
                <w:rFonts w:hint="eastAsia" w:ascii="宋体" w:hAnsi="宋体" w:eastAsia="宋体" w:cs="宋体"/>
                <w:b/>
                <w:bCs/>
                <w:color w:val="00B050"/>
                <w:sz w:val="24"/>
                <w:szCs w:val="24"/>
                <w:vertAlign w:val="baseline"/>
                <w:lang w:val="en-US" w:eastAsia="zh-CN"/>
              </w:rPr>
              <w:t>0.10%</w:t>
            </w:r>
          </w:p>
        </w:tc>
        <w:tc>
          <w:tcPr>
            <w:tcW w:w="1174" w:type="dxa"/>
            <w:gridSpan w:val="2"/>
            <w:vAlign w:val="center"/>
          </w:tcPr>
          <w:p>
            <w:pPr>
              <w:jc w:val="center"/>
              <w:rPr>
                <w:rFonts w:hint="default" w:ascii="宋体" w:hAnsi="宋体" w:eastAsia="宋体" w:cs="宋体"/>
                <w:sz w:val="24"/>
                <w:lang w:val="en-US"/>
              </w:rPr>
            </w:pPr>
            <w:r>
              <w:rPr>
                <w:rFonts w:hint="eastAsia" w:ascii="宋体" w:hAnsi="宋体" w:eastAsia="宋体" w:cs="宋体"/>
                <w:sz w:val="24"/>
                <w:szCs w:val="24"/>
                <w:vertAlign w:val="baseline"/>
                <w:lang w:val="en-US" w:eastAsia="zh-CN"/>
              </w:rPr>
              <w:t>2899</w:t>
            </w:r>
          </w:p>
        </w:tc>
        <w:tc>
          <w:tcPr>
            <w:tcW w:w="1172" w:type="dxa"/>
            <w:vAlign w:val="center"/>
          </w:tcPr>
          <w:p>
            <w:pPr>
              <w:jc w:val="center"/>
              <w:rPr>
                <w:rFonts w:hint="default" w:ascii="宋体" w:hAnsi="宋体" w:eastAsia="宋体" w:cs="宋体"/>
                <w:sz w:val="24"/>
                <w:lang w:val="en-US"/>
              </w:rPr>
            </w:pPr>
            <w:r>
              <w:rPr>
                <w:rFonts w:hint="eastAsia" w:ascii="宋体" w:hAnsi="宋体" w:eastAsia="宋体" w:cs="宋体"/>
                <w:sz w:val="24"/>
                <w:szCs w:val="24"/>
                <w:vertAlign w:val="baseline"/>
                <w:lang w:val="en-US" w:eastAsia="zh-CN"/>
              </w:rPr>
              <w:t>3046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01" w:type="dxa"/>
            <w:vMerge w:val="restart"/>
            <w:vAlign w:val="center"/>
          </w:tcPr>
          <w:p>
            <w:pPr>
              <w:jc w:val="center"/>
              <w:rPr>
                <w:rFonts w:ascii="宋体" w:hAnsi="宋体" w:eastAsia="宋体" w:cs="宋体"/>
                <w:b/>
                <w:bCs/>
                <w:sz w:val="24"/>
              </w:rPr>
            </w:pPr>
            <w:r>
              <w:rPr>
                <w:rFonts w:hint="eastAsia" w:ascii="宋体" w:hAnsi="宋体" w:eastAsia="宋体" w:cs="宋体"/>
                <w:b/>
                <w:bCs/>
                <w:sz w:val="24"/>
              </w:rPr>
              <w:t>行情</w:t>
            </w:r>
          </w:p>
        </w:tc>
        <w:tc>
          <w:tcPr>
            <w:tcW w:w="7039" w:type="dxa"/>
            <w:gridSpan w:val="10"/>
            <w:vAlign w:val="center"/>
          </w:tcPr>
          <w:p>
            <w:pPr>
              <w:spacing w:line="360" w:lineRule="auto"/>
              <w:jc w:val="center"/>
              <w:rPr>
                <w:rFonts w:hint="default" w:eastAsiaTheme="minorEastAsia"/>
                <w:szCs w:val="21"/>
                <w:lang w:val="en-US" w:eastAsia="zh-CN"/>
              </w:rPr>
            </w:pPr>
            <w:r>
              <w:rPr>
                <w:rFonts w:hint="eastAsia"/>
                <w:b/>
                <w:bCs/>
                <w:szCs w:val="21"/>
                <w:lang w:val="en-US" w:eastAsia="zh-CN"/>
              </w:rPr>
              <w:t>美玉米继续回调，连盘偏弱调整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501" w:type="dxa"/>
            <w:vMerge w:val="continue"/>
            <w:vAlign w:val="center"/>
          </w:tcPr>
          <w:p>
            <w:pPr>
              <w:spacing w:line="360" w:lineRule="auto"/>
              <w:ind w:firstLine="420" w:firstLineChars="0"/>
              <w:jc w:val="center"/>
            </w:pPr>
          </w:p>
        </w:tc>
        <w:tc>
          <w:tcPr>
            <w:tcW w:w="7039" w:type="dxa"/>
            <w:gridSpan w:val="10"/>
            <w:vAlign w:val="center"/>
          </w:tcPr>
          <w:p>
            <w:pPr>
              <w:tabs>
                <w:tab w:val="left" w:pos="722"/>
              </w:tabs>
              <w:spacing w:line="360" w:lineRule="auto"/>
              <w:ind w:firstLine="420" w:firstLineChars="200"/>
              <w:rPr>
                <w:rFonts w:hint="default" w:eastAsia="宋体"/>
                <w:szCs w:val="21"/>
                <w:lang w:val="en-US" w:eastAsia="zh-CN"/>
              </w:rPr>
            </w:pPr>
            <w:r>
              <w:rPr>
                <w:rFonts w:hint="eastAsia" w:eastAsia="宋体"/>
                <w:szCs w:val="21"/>
                <w:lang w:val="en-US" w:eastAsia="zh-CN"/>
              </w:rPr>
              <w:t>美玉米周一收跌，分析师称在USDA作物生长发布前，市场预期美国中西部地区播种进度加快。连盘玉米3000下方调整。基本面上，华北产区整体售粮86%，慢于去年同期的90%，持平于近三年平均，东北地区售粮92%，与去年同期以及近三年平均持平，近期售粮进度有提升。整体而言，因疫情管控原因售粮进度偏慢情况集中于华北产区，而近期卖收腾库需求下玉米基层销售或将加速。北方港口集港量回升，但销售销售和装运难度加大，南方广东港口内贸玉米库存74.7万吨、外贸玉米库存39.5万吨，但因饲料企业库存充裕以及生猪价格反弹并未完全扭转亏损的情况，导致玉米需求承压，港口走货情况一般。深加工企业目前玉米原料库存回升至近4年平均水平，但开机率已经降至历年最低、且产品淀粉库存高位继续增加，均不利于玉米需求回升。整体看，供应端有压力需求偏弱，且期货价格处于高位且高升水，继续上涨乏力，预计本周将偏弱震荡为主，前期高位多单注意保护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501" w:type="dxa"/>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品种</w:t>
            </w:r>
          </w:p>
        </w:tc>
        <w:tc>
          <w:tcPr>
            <w:tcW w:w="1172" w:type="dxa"/>
            <w:gridSpan w:val="2"/>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T-</w:t>
            </w:r>
            <w:r>
              <w:rPr>
                <w:rFonts w:hint="eastAsia" w:ascii="宋体" w:hAnsi="宋体" w:eastAsia="宋体" w:cs="宋体"/>
                <w:b/>
                <w:bCs/>
                <w:color w:val="FFFFFF" w:themeColor="background1"/>
                <w:sz w:val="24"/>
                <w:lang w:val="en-US" w:eastAsia="zh-CN"/>
                <w14:textFill>
                  <w14:solidFill>
                    <w14:schemeClr w14:val="bg1"/>
                  </w14:solidFill>
                </w14:textFill>
              </w:rPr>
              <w:t>1</w:t>
            </w:r>
            <w:r>
              <w:rPr>
                <w:rFonts w:hint="eastAsia" w:ascii="宋体" w:hAnsi="宋体" w:eastAsia="宋体" w:cs="宋体"/>
                <w:b/>
                <w:bCs/>
                <w:color w:val="FFFFFF" w:themeColor="background1"/>
                <w:sz w:val="24"/>
                <w14:textFill>
                  <w14:solidFill>
                    <w14:schemeClr w14:val="bg1"/>
                  </w14:solidFill>
                </w14:textFill>
              </w:rPr>
              <w:t>日</w:t>
            </w:r>
          </w:p>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收盘价</w:t>
            </w:r>
          </w:p>
        </w:tc>
        <w:tc>
          <w:tcPr>
            <w:tcW w:w="1173" w:type="dxa"/>
            <w:gridSpan w:val="2"/>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T-</w:t>
            </w:r>
            <w:r>
              <w:rPr>
                <w:rFonts w:hint="eastAsia" w:ascii="宋体" w:hAnsi="宋体" w:eastAsia="宋体" w:cs="宋体"/>
                <w:b/>
                <w:bCs/>
                <w:color w:val="FFFFFF" w:themeColor="background1"/>
                <w:sz w:val="24"/>
                <w:lang w:val="en-US" w:eastAsia="zh-CN"/>
                <w14:textFill>
                  <w14:solidFill>
                    <w14:schemeClr w14:val="bg1"/>
                  </w14:solidFill>
                </w14:textFill>
              </w:rPr>
              <w:t>2</w:t>
            </w:r>
            <w:r>
              <w:rPr>
                <w:rFonts w:hint="eastAsia" w:ascii="宋体" w:hAnsi="宋体" w:eastAsia="宋体" w:cs="宋体"/>
                <w:b/>
                <w:bCs/>
                <w:color w:val="FFFFFF" w:themeColor="background1"/>
                <w:sz w:val="24"/>
                <w14:textFill>
                  <w14:solidFill>
                    <w14:schemeClr w14:val="bg1"/>
                  </w14:solidFill>
                </w14:textFill>
              </w:rPr>
              <w:t>日</w:t>
            </w:r>
          </w:p>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收盘价</w:t>
            </w:r>
          </w:p>
        </w:tc>
        <w:tc>
          <w:tcPr>
            <w:tcW w:w="1174" w:type="dxa"/>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涨跌值</w:t>
            </w:r>
          </w:p>
        </w:tc>
        <w:tc>
          <w:tcPr>
            <w:tcW w:w="1174" w:type="dxa"/>
            <w:gridSpan w:val="2"/>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幅度</w:t>
            </w:r>
          </w:p>
        </w:tc>
        <w:tc>
          <w:tcPr>
            <w:tcW w:w="1174" w:type="dxa"/>
            <w:gridSpan w:val="2"/>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月度</w:t>
            </w:r>
          </w:p>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最低价</w:t>
            </w:r>
          </w:p>
        </w:tc>
        <w:tc>
          <w:tcPr>
            <w:tcW w:w="1172" w:type="dxa"/>
            <w:shd w:val="clear" w:color="auto" w:fill="4472C4" w:themeFill="accent5"/>
            <w:vAlign w:val="center"/>
          </w:tcPr>
          <w:p>
            <w:pPr>
              <w:jc w:val="center"/>
              <w:rPr>
                <w:rFonts w:ascii="宋体" w:hAnsi="宋体" w:eastAsia="宋体" w:cs="宋体"/>
                <w:b/>
                <w:bCs/>
                <w:color w:val="FFFFFF" w:themeColor="background1"/>
                <w:sz w:val="24"/>
                <w14:textFill>
                  <w14:solidFill>
                    <w14:schemeClr w14:val="bg1"/>
                  </w14:solidFill>
                </w14:textFill>
              </w:rPr>
            </w:pPr>
            <w:r>
              <w:rPr>
                <w:rFonts w:hint="eastAsia" w:ascii="宋体" w:hAnsi="宋体" w:eastAsia="宋体" w:cs="宋体"/>
                <w:b/>
                <w:bCs/>
                <w:color w:val="FFFFFF" w:themeColor="background1"/>
                <w:sz w:val="24"/>
                <w14:textFill>
                  <w14:solidFill>
                    <w14:schemeClr w14:val="bg1"/>
                  </w14:solidFill>
                </w14:textFill>
              </w:rPr>
              <w:t>月度最高价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501" w:type="dxa"/>
            <w:vAlign w:val="center"/>
          </w:tcPr>
          <w:p>
            <w:pPr>
              <w:jc w:val="center"/>
              <w:rPr>
                <w:rFonts w:hint="default" w:ascii="宋体" w:hAnsi="宋体" w:eastAsia="宋体" w:cs="宋体"/>
                <w:b/>
                <w:bCs/>
                <w:sz w:val="24"/>
                <w:lang w:val="en-US" w:eastAsia="zh-CN"/>
              </w:rPr>
            </w:pPr>
            <w:r>
              <w:rPr>
                <w:rFonts w:hint="eastAsia" w:ascii="宋体" w:hAnsi="宋体" w:eastAsia="宋体" w:cs="宋体"/>
                <w:b/>
                <w:bCs/>
                <w:sz w:val="24"/>
                <w:lang w:val="en-US" w:eastAsia="zh-CN"/>
              </w:rPr>
              <w:t>原糖07</w:t>
            </w:r>
          </w:p>
        </w:tc>
        <w:tc>
          <w:tcPr>
            <w:tcW w:w="1172" w:type="dxa"/>
            <w:gridSpan w:val="2"/>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18.62</w:t>
            </w:r>
          </w:p>
        </w:tc>
        <w:tc>
          <w:tcPr>
            <w:tcW w:w="1173" w:type="dxa"/>
            <w:gridSpan w:val="2"/>
            <w:vAlign w:val="center"/>
          </w:tcPr>
          <w:p>
            <w:pPr>
              <w:jc w:val="center"/>
              <w:rPr>
                <w:rFonts w:hint="default" w:ascii="宋体" w:hAnsi="宋体" w:eastAsia="宋体" w:cs="宋体"/>
                <w:sz w:val="24"/>
                <w:lang w:val="en-US"/>
              </w:rPr>
            </w:pPr>
            <w:r>
              <w:rPr>
                <w:rFonts w:hint="eastAsia" w:ascii="宋体" w:hAnsi="宋体" w:eastAsia="宋体" w:cs="宋体"/>
                <w:sz w:val="24"/>
                <w:lang w:val="en-US" w:eastAsia="zh-CN"/>
              </w:rPr>
              <w:t>19.10</w:t>
            </w:r>
          </w:p>
        </w:tc>
        <w:tc>
          <w:tcPr>
            <w:tcW w:w="1174" w:type="dxa"/>
            <w:vAlign w:val="center"/>
          </w:tcPr>
          <w:p>
            <w:pPr>
              <w:jc w:val="center"/>
              <w:rPr>
                <w:rFonts w:hint="default" w:ascii="宋体" w:hAnsi="宋体" w:eastAsia="宋体" w:cs="宋体"/>
                <w:b/>
                <w:bCs/>
                <w:color w:val="70AD47" w:themeColor="accent6"/>
                <w:sz w:val="24"/>
                <w:szCs w:val="24"/>
                <w:highlight w:val="none"/>
                <w:vertAlign w:val="baseline"/>
                <w:lang w:val="en-US" w:eastAsia="zh-CN"/>
                <w14:textFill>
                  <w14:solidFill>
                    <w14:schemeClr w14:val="accent6"/>
                  </w14:solidFill>
                </w14:textFill>
              </w:rPr>
            </w:pPr>
            <w:r>
              <w:rPr>
                <w:rFonts w:hint="eastAsia" w:ascii="宋体" w:hAnsi="宋体" w:eastAsia="宋体" w:cs="宋体"/>
                <w:b/>
                <w:bCs/>
                <w:color w:val="70AD47" w:themeColor="accent6"/>
                <w:sz w:val="24"/>
                <w:szCs w:val="24"/>
                <w:highlight w:val="none"/>
                <w:vertAlign w:val="baseline"/>
                <w:lang w:val="en-US" w:eastAsia="zh-CN"/>
                <w14:textFill>
                  <w14:solidFill>
                    <w14:schemeClr w14:val="accent6"/>
                  </w14:solidFill>
                </w14:textFill>
              </w:rPr>
              <w:t>0.48</w:t>
            </w:r>
          </w:p>
        </w:tc>
        <w:tc>
          <w:tcPr>
            <w:tcW w:w="1174" w:type="dxa"/>
            <w:gridSpan w:val="2"/>
            <w:vAlign w:val="center"/>
          </w:tcPr>
          <w:p>
            <w:pPr>
              <w:jc w:val="center"/>
              <w:rPr>
                <w:rFonts w:hint="eastAsia" w:ascii="宋体" w:hAnsi="宋体" w:eastAsia="宋体" w:cs="宋体"/>
                <w:b/>
                <w:bCs/>
                <w:color w:val="70AD47" w:themeColor="accent6"/>
                <w:sz w:val="24"/>
                <w:szCs w:val="24"/>
                <w:highlight w:val="none"/>
                <w:vertAlign w:val="baseline"/>
                <w:lang w:val="en-US" w:eastAsia="zh-CN"/>
                <w14:textFill>
                  <w14:solidFill>
                    <w14:schemeClr w14:val="accent6"/>
                  </w14:solidFill>
                </w14:textFill>
              </w:rPr>
            </w:pPr>
            <w:r>
              <w:rPr>
                <w:rFonts w:hint="eastAsia" w:ascii="宋体" w:hAnsi="宋体" w:eastAsia="宋体" w:cs="宋体"/>
                <w:b/>
                <w:bCs/>
                <w:color w:val="70AD47" w:themeColor="accent6"/>
                <w:sz w:val="24"/>
                <w:szCs w:val="24"/>
                <w:highlight w:val="none"/>
                <w:vertAlign w:val="baseline"/>
                <w:lang w:val="en-US" w:eastAsia="zh-CN"/>
                <w14:textFill>
                  <w14:solidFill>
                    <w14:schemeClr w14:val="accent6"/>
                  </w14:solidFill>
                </w14:textFill>
              </w:rPr>
              <w:t>2.51%</w:t>
            </w:r>
          </w:p>
        </w:tc>
        <w:tc>
          <w:tcPr>
            <w:tcW w:w="1174" w:type="dxa"/>
            <w:gridSpan w:val="2"/>
            <w:vAlign w:val="center"/>
          </w:tcPr>
          <w:p>
            <w:pPr>
              <w:jc w:val="center"/>
              <w:rPr>
                <w:rFonts w:hint="default" w:ascii="宋体" w:hAnsi="宋体" w:eastAsia="宋体" w:cs="宋体"/>
                <w:sz w:val="24"/>
                <w:lang w:val="en-US"/>
              </w:rPr>
            </w:pPr>
            <w:r>
              <w:rPr>
                <w:rFonts w:hint="eastAsia" w:ascii="宋体" w:hAnsi="宋体" w:eastAsia="宋体" w:cs="宋体"/>
                <w:sz w:val="24"/>
                <w:szCs w:val="24"/>
                <w:vertAlign w:val="baseline"/>
                <w:lang w:val="en-US" w:eastAsia="zh-CN"/>
              </w:rPr>
              <w:t>18.54</w:t>
            </w:r>
          </w:p>
        </w:tc>
        <w:tc>
          <w:tcPr>
            <w:tcW w:w="1172" w:type="dxa"/>
            <w:vAlign w:val="center"/>
          </w:tcPr>
          <w:p>
            <w:pPr>
              <w:jc w:val="center"/>
              <w:rPr>
                <w:rFonts w:hint="default" w:ascii="宋体" w:hAnsi="宋体" w:eastAsia="宋体" w:cs="宋体"/>
                <w:sz w:val="24"/>
                <w:lang w:val="en-US"/>
              </w:rPr>
            </w:pPr>
            <w:r>
              <w:rPr>
                <w:rFonts w:hint="eastAsia" w:ascii="宋体" w:hAnsi="宋体" w:eastAsia="宋体" w:cs="宋体"/>
                <w:sz w:val="24"/>
                <w:szCs w:val="24"/>
                <w:vertAlign w:val="baseline"/>
                <w:lang w:val="en-US" w:eastAsia="zh-CN"/>
              </w:rPr>
              <w:t>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501" w:type="dxa"/>
            <w:vAlign w:val="center"/>
          </w:tcPr>
          <w:p>
            <w:pPr>
              <w:jc w:val="center"/>
              <w:rPr>
                <w:rFonts w:ascii="宋体" w:hAnsi="宋体" w:eastAsia="宋体" w:cs="宋体"/>
                <w:b/>
                <w:bCs/>
                <w:sz w:val="24"/>
              </w:rPr>
            </w:pPr>
            <w:r>
              <w:rPr>
                <w:rFonts w:hint="eastAsia" w:ascii="宋体" w:hAnsi="宋体" w:eastAsia="宋体" w:cs="宋体"/>
                <w:b/>
                <w:bCs/>
                <w:sz w:val="24"/>
                <w:lang w:val="en-US" w:eastAsia="zh-CN"/>
              </w:rPr>
              <w:t>白糖</w:t>
            </w:r>
            <w:r>
              <w:rPr>
                <w:rFonts w:hint="eastAsia" w:ascii="宋体" w:hAnsi="宋体" w:eastAsia="宋体" w:cs="宋体"/>
                <w:b/>
                <w:bCs/>
                <w:sz w:val="24"/>
              </w:rPr>
              <w:t>0</w:t>
            </w:r>
            <w:r>
              <w:rPr>
                <w:rFonts w:hint="eastAsia" w:ascii="宋体" w:hAnsi="宋体" w:eastAsia="宋体" w:cs="宋体"/>
                <w:b/>
                <w:bCs/>
                <w:sz w:val="24"/>
                <w:lang w:val="en-US" w:eastAsia="zh-CN"/>
              </w:rPr>
              <w:t>9</w:t>
            </w:r>
          </w:p>
        </w:tc>
        <w:tc>
          <w:tcPr>
            <w:tcW w:w="1172" w:type="dxa"/>
            <w:gridSpan w:val="2"/>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5860</w:t>
            </w:r>
          </w:p>
        </w:tc>
        <w:tc>
          <w:tcPr>
            <w:tcW w:w="1173" w:type="dxa"/>
            <w:gridSpan w:val="2"/>
            <w:vAlign w:val="center"/>
          </w:tcPr>
          <w:p>
            <w:pPr>
              <w:jc w:val="center"/>
              <w:rPr>
                <w:rFonts w:hint="default" w:ascii="宋体" w:hAnsi="宋体" w:eastAsia="宋体" w:cs="宋体"/>
                <w:sz w:val="24"/>
                <w:lang w:val="en-US"/>
              </w:rPr>
            </w:pPr>
            <w:r>
              <w:rPr>
                <w:rFonts w:hint="eastAsia" w:ascii="宋体" w:hAnsi="宋体" w:eastAsia="宋体" w:cs="宋体"/>
                <w:sz w:val="24"/>
                <w:lang w:val="en-US" w:eastAsia="zh-CN"/>
              </w:rPr>
              <w:t>5847</w:t>
            </w:r>
          </w:p>
        </w:tc>
        <w:tc>
          <w:tcPr>
            <w:tcW w:w="1174" w:type="dxa"/>
            <w:vAlign w:val="center"/>
          </w:tcPr>
          <w:p>
            <w:pPr>
              <w:jc w:val="center"/>
              <w:rPr>
                <w:rFonts w:hint="default" w:ascii="宋体" w:hAnsi="宋体" w:eastAsia="宋体" w:cs="宋体"/>
                <w:b/>
                <w:bCs/>
                <w:color w:val="FF0000"/>
                <w:sz w:val="24"/>
                <w:szCs w:val="24"/>
                <w:highlight w:val="none"/>
                <w:vertAlign w:val="baseline"/>
                <w:lang w:val="en-US" w:eastAsia="zh-CN"/>
              </w:rPr>
            </w:pPr>
            <w:r>
              <w:rPr>
                <w:rFonts w:hint="eastAsia" w:ascii="宋体" w:hAnsi="宋体" w:eastAsia="宋体" w:cs="宋体"/>
                <w:b/>
                <w:bCs/>
                <w:color w:val="FF0000"/>
                <w:sz w:val="24"/>
                <w:szCs w:val="24"/>
                <w:highlight w:val="none"/>
                <w:vertAlign w:val="baseline"/>
                <w:lang w:val="en-US" w:eastAsia="zh-CN"/>
              </w:rPr>
              <w:t>13</w:t>
            </w:r>
          </w:p>
        </w:tc>
        <w:tc>
          <w:tcPr>
            <w:tcW w:w="1174" w:type="dxa"/>
            <w:gridSpan w:val="2"/>
            <w:vAlign w:val="center"/>
          </w:tcPr>
          <w:p>
            <w:pPr>
              <w:jc w:val="center"/>
              <w:rPr>
                <w:rFonts w:hint="eastAsia" w:ascii="宋体" w:hAnsi="宋体" w:eastAsia="宋体" w:cs="宋体"/>
                <w:b/>
                <w:bCs/>
                <w:color w:val="FF0000"/>
                <w:sz w:val="24"/>
                <w:szCs w:val="24"/>
                <w:highlight w:val="none"/>
                <w:vertAlign w:val="baseline"/>
                <w:lang w:val="en-US" w:eastAsia="zh-CN"/>
              </w:rPr>
            </w:pPr>
            <w:r>
              <w:rPr>
                <w:rFonts w:hint="eastAsia" w:ascii="宋体" w:hAnsi="宋体" w:eastAsia="宋体" w:cs="宋体"/>
                <w:b/>
                <w:bCs/>
                <w:color w:val="FF0000"/>
                <w:sz w:val="24"/>
                <w:szCs w:val="24"/>
                <w:highlight w:val="none"/>
                <w:vertAlign w:val="baseline"/>
                <w:lang w:val="en-US" w:eastAsia="zh-CN"/>
              </w:rPr>
              <w:t>0.22%</w:t>
            </w:r>
          </w:p>
        </w:tc>
        <w:tc>
          <w:tcPr>
            <w:tcW w:w="1174" w:type="dxa"/>
            <w:gridSpan w:val="2"/>
            <w:vAlign w:val="center"/>
          </w:tcPr>
          <w:p>
            <w:pPr>
              <w:jc w:val="center"/>
              <w:rPr>
                <w:rFonts w:hint="default" w:ascii="宋体" w:hAnsi="宋体" w:eastAsia="宋体" w:cs="宋体"/>
                <w:sz w:val="24"/>
                <w:lang w:val="en-US"/>
              </w:rPr>
            </w:pPr>
            <w:r>
              <w:rPr>
                <w:rFonts w:hint="eastAsia" w:ascii="宋体" w:hAnsi="宋体" w:eastAsia="宋体" w:cs="宋体"/>
                <w:sz w:val="24"/>
                <w:szCs w:val="24"/>
                <w:vertAlign w:val="baseline"/>
                <w:lang w:val="en-US" w:eastAsia="zh-CN"/>
              </w:rPr>
              <w:t>5805</w:t>
            </w:r>
          </w:p>
        </w:tc>
        <w:tc>
          <w:tcPr>
            <w:tcW w:w="1172" w:type="dxa"/>
            <w:vAlign w:val="center"/>
          </w:tcPr>
          <w:p>
            <w:pPr>
              <w:jc w:val="center"/>
              <w:rPr>
                <w:rFonts w:hint="default" w:ascii="宋体" w:hAnsi="宋体" w:eastAsia="宋体" w:cs="宋体"/>
                <w:sz w:val="24"/>
                <w:lang w:val="en-US"/>
              </w:rPr>
            </w:pPr>
            <w:r>
              <w:rPr>
                <w:rFonts w:hint="eastAsia" w:ascii="宋体" w:hAnsi="宋体" w:eastAsia="宋体" w:cs="宋体"/>
                <w:sz w:val="24"/>
                <w:szCs w:val="24"/>
                <w:vertAlign w:val="baseline"/>
                <w:lang w:val="en-US" w:eastAsia="zh-CN"/>
              </w:rPr>
              <w:t>6096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01" w:type="dxa"/>
            <w:vMerge w:val="restart"/>
            <w:vAlign w:val="center"/>
          </w:tcPr>
          <w:p>
            <w:pPr>
              <w:jc w:val="center"/>
              <w:rPr>
                <w:rFonts w:ascii="宋体" w:hAnsi="宋体" w:eastAsia="宋体" w:cs="宋体"/>
                <w:b/>
                <w:bCs/>
                <w:sz w:val="24"/>
              </w:rPr>
            </w:pPr>
            <w:r>
              <w:rPr>
                <w:rFonts w:hint="eastAsia" w:ascii="宋体" w:hAnsi="宋体" w:eastAsia="宋体" w:cs="宋体"/>
                <w:b/>
                <w:bCs/>
                <w:sz w:val="24"/>
              </w:rPr>
              <w:t>行情</w:t>
            </w:r>
          </w:p>
        </w:tc>
        <w:tc>
          <w:tcPr>
            <w:tcW w:w="7039" w:type="dxa"/>
            <w:gridSpan w:val="10"/>
            <w:vAlign w:val="center"/>
          </w:tcPr>
          <w:p>
            <w:pPr>
              <w:spacing w:line="360" w:lineRule="auto"/>
              <w:jc w:val="center"/>
              <w:rPr>
                <w:rFonts w:hint="default" w:eastAsiaTheme="minorEastAsia"/>
                <w:szCs w:val="21"/>
                <w:lang w:val="en-US" w:eastAsia="zh-CN"/>
              </w:rPr>
            </w:pPr>
            <w:r>
              <w:rPr>
                <w:rFonts w:hint="eastAsia"/>
                <w:b/>
                <w:bCs/>
                <w:szCs w:val="21"/>
                <w:lang w:val="en-US" w:eastAsia="zh-CN"/>
              </w:rPr>
              <w:t>4月产销数据仍处近年低位，郑糖承压下行</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501" w:type="dxa"/>
            <w:vMerge w:val="continue"/>
            <w:vAlign w:val="center"/>
          </w:tcPr>
          <w:p>
            <w:pPr>
              <w:spacing w:line="360" w:lineRule="auto"/>
              <w:ind w:firstLine="420" w:firstLineChars="0"/>
              <w:jc w:val="center"/>
            </w:pPr>
          </w:p>
        </w:tc>
        <w:tc>
          <w:tcPr>
            <w:tcW w:w="7039" w:type="dxa"/>
            <w:gridSpan w:val="10"/>
            <w:vAlign w:val="center"/>
          </w:tcPr>
          <w:p>
            <w:pPr>
              <w:tabs>
                <w:tab w:val="left" w:pos="722"/>
              </w:tabs>
              <w:spacing w:line="360" w:lineRule="auto"/>
              <w:ind w:firstLine="420" w:firstLineChars="200"/>
              <w:rPr>
                <w:rFonts w:hint="default" w:eastAsia="宋体"/>
                <w:szCs w:val="21"/>
                <w:lang w:val="en-US" w:eastAsia="zh-CN"/>
              </w:rPr>
            </w:pPr>
            <w:r>
              <w:rPr>
                <w:rFonts w:hint="eastAsia" w:eastAsia="宋体"/>
                <w:szCs w:val="21"/>
                <w:lang w:val="en-US" w:eastAsia="zh-CN"/>
              </w:rPr>
              <w:t>国际方面，周一原糖跌逾2%，因油价下跌以及强势美元也施压商品价格。消息方面，巴西是有公司周一上调柴油价格，但决定不上调汽油价格。调查结果显示，4月下半月巴西中南部地区的糖产量预估未76.94万吨，叫去年同期下降49.5%。巴西压榨进度偏慢或给予糖价一定支撑。国内而言，最新数据显示，截至4月底2021/22年制糖期全国已累计产糖935.05万吨，累计销售食糖443.67万吨，累计销糖率47.45%，同比略高于去年同期，但整体处于近几年低位，消费仍不乐观。同时，原糖随原油下跌导致郑糖跟随跌至5800上方。叠加大宗商品普跌影响，预计今日郑糖将继续偏弱为主，关注5800的支撑力度。</w:t>
            </w:r>
          </w:p>
        </w:tc>
      </w:tr>
    </w:tbl>
    <w:p/>
    <w:p>
      <w:pPr>
        <w:pStyle w:val="2"/>
        <w:pageBreakBefore/>
        <w:tabs>
          <w:tab w:val="left" w:pos="2257"/>
        </w:tabs>
        <w:spacing w:line="720" w:lineRule="auto"/>
        <w:rPr>
          <w:color w:val="002060"/>
          <w:sz w:val="32"/>
          <w:szCs w:val="32"/>
        </w:rPr>
      </w:pPr>
      <w:r>
        <w:rPr>
          <w:rFonts w:hint="eastAsia" w:ascii="楷体" w:hAnsi="楷体" w:eastAsia="楷体" w:cs="楷体"/>
          <w:color w:val="002060"/>
          <w:sz w:val="32"/>
          <w:szCs w:val="32"/>
        </w:rPr>
        <w:t>免责声明</w:t>
      </w:r>
    </w:p>
    <w:p>
      <w:pPr>
        <w:ind w:left="-141" w:leftChars="-67" w:firstLine="468" w:firstLineChars="223"/>
        <w:rPr>
          <w:rFonts w:ascii="楷体" w:hAnsi="楷体" w:eastAsia="楷体" w:cs="楷体"/>
        </w:rPr>
      </w:pPr>
      <w:r>
        <w:rPr>
          <w:rFonts w:hint="eastAsia" w:ascii="楷体" w:hAnsi="楷体" w:eastAsia="楷体" w:cs="楷体"/>
        </w:rPr>
        <w:t xml:space="preserve">本报告基于已公开的信息编制，但对信息的准确性及完整性不作任何保证。本公司力求报告内容客观、公正，但本报告所载的观点、结论和建议仅供参考，不构成个人投资建议。投资者应当充分考虑自身投资经历及习惯、风险承受能力等实际情况，并完整理解和使用本报告内容，不能依靠本报告以取代独立判断。对投资者依据或者使用本报告所造成的一切后果，本公司及作者均不承担任何法律责任。 </w:t>
      </w:r>
    </w:p>
    <w:p>
      <w:pPr>
        <w:ind w:left="-141" w:leftChars="-67" w:firstLine="468" w:firstLineChars="223"/>
        <w:rPr>
          <w:rFonts w:ascii="楷体" w:hAnsi="楷体" w:eastAsia="楷体" w:cs="楷体"/>
        </w:rPr>
      </w:pPr>
      <w:r>
        <w:rPr>
          <w:rFonts w:hint="eastAsia" w:ascii="楷体" w:hAnsi="楷体" w:eastAsia="楷体" w:cs="楷体"/>
        </w:rPr>
        <w:t xml:space="preserve">本报告所载的意见、结论及预测仅反映报告发布当日的观点和判断。在不同时期，本公司可能会发出与本报告所载意见、评估及预测不一致的研究报告。本公司不保证本报告所含信息保持在最新状态。本公司对本报告所含信息可在不发出通知的情形下做出修改，投资者应当自行关注相应的更新或修改。 </w:t>
      </w:r>
    </w:p>
    <w:p>
      <w:pPr>
        <w:ind w:left="-141" w:leftChars="-67" w:firstLine="468" w:firstLineChars="223"/>
        <w:rPr>
          <w:rFonts w:ascii="楷体" w:hAnsi="楷体" w:eastAsia="楷体" w:cs="楷体"/>
        </w:rPr>
      </w:pPr>
      <w:r>
        <w:rPr>
          <w:rFonts w:hint="eastAsia" w:ascii="楷体" w:hAnsi="楷体" w:eastAsia="楷体" w:cs="楷体"/>
        </w:rPr>
        <w:t>长安期货有限公司版权所有并保留一切权利。未经本公司书面许可，任何机构或个人不得以翻版、复制、发表、引用或再次分发他人等任何形式侵犯本公司版权。如征得本公司同意进行引用、刊发的，需在允许的范围内使用，并注明出处为“长安期货投资咨询部”，且不得对本报告进行任何有悖原意的引用、删节和修改。本公司保留追究相关责任的权力。所有本报告中使用的商标、服务标记及标记均为本公司的商标、服务标记及标记。</w:t>
      </w:r>
    </w:p>
    <w:p>
      <w:pPr>
        <w:spacing w:line="360" w:lineRule="auto"/>
        <w:jc w:val="left"/>
        <w:rPr>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posOffset>45085</wp:posOffset>
              </wp:positionH>
              <wp:positionV relativeFrom="paragraph">
                <wp:posOffset>213360</wp:posOffset>
              </wp:positionV>
              <wp:extent cx="5219700" cy="1143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219700" cy="11430"/>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55pt;margin-top:16.8pt;height:0.9pt;width:411pt;mso-position-horizontal-relative:margin;z-index:251660288;mso-width-relative:page;mso-height-relative:page;" filled="f" stroked="t" coordsize="21600,21600" o:gfxdata="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aZ&#10;43bWAAAABwEAAA8AAAAAAAAAAQAgAAAAIgAAAGRycy9kb3ducmV2LnhtbFBLAQIUABQAAAAIAIdO&#10;4kB9M34R7AEAAMYDAAAOAAAAAAAAAAEAIAAAACUBAABkcnMvZTJvRG9jLnhtbFBLBQYAAAAABgAG&#10;AFkBAACDBQAAAAA=&#10;">
              <v:fill on="f" focussize="0,0"/>
              <v:stroke weight="1pt" color="#000000" miterlimit="8" joinstyle="miter"/>
              <v:imagedata o:title=""/>
              <o:lock v:ext="edit" aspectratio="f"/>
            </v:line>
          </w:pict>
        </mc:Fallback>
      </mc:AlternateContent>
    </w:r>
    <w:r>
      <w:rPr>
        <w:rFonts w:hint="eastAsia" w:ascii="仿宋" w:hAnsi="仿宋" w:eastAsia="仿宋" w:cs="仿宋"/>
      </w:rPr>
      <w:t xml:space="preserve">请务必阅读正文后的免责声明部分！                                 </w:t>
    </w:r>
    <w:r>
      <w:rPr>
        <w:rFonts w:hint="eastAsia" w:ascii="楷体" w:hAnsi="楷体" w:eastAsia="楷体" w:cs="楷体"/>
        <w:color w:val="FFC000"/>
        <w:sz w:val="22"/>
        <w:szCs w:val="36"/>
      </w:rPr>
      <w:t>放心的选择 贴心的服务</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000080" w:sz="4" w:space="1"/>
      </w:pBdr>
    </w:pPr>
    <w:r>
      <mc:AlternateContent>
        <mc:Choice Requires="wps">
          <w:drawing>
            <wp:anchor distT="0" distB="0" distL="114300" distR="114300" simplePos="0" relativeHeight="251659264" behindDoc="0" locked="0" layoutInCell="1" allowOverlap="1">
              <wp:simplePos x="0" y="0"/>
              <wp:positionH relativeFrom="margin">
                <wp:posOffset>3414395</wp:posOffset>
              </wp:positionH>
              <wp:positionV relativeFrom="paragraph">
                <wp:posOffset>20320</wp:posOffset>
              </wp:positionV>
              <wp:extent cx="1875155" cy="347345"/>
              <wp:effectExtent l="4445" t="4445" r="6350" b="10160"/>
              <wp:wrapNone/>
              <wp:docPr id="1" name="文本框 1"/>
              <wp:cNvGraphicFramePr/>
              <a:graphic xmlns:a="http://schemas.openxmlformats.org/drawingml/2006/main">
                <a:graphicData uri="http://schemas.microsoft.com/office/word/2010/wordprocessingShape">
                  <wps:wsp>
                    <wps:cNvSpPr txBox="1"/>
                    <wps:spPr>
                      <a:xfrm>
                        <a:off x="0" y="0"/>
                        <a:ext cx="1875155" cy="347345"/>
                      </a:xfrm>
                      <a:prstGeom prst="rect">
                        <a:avLst/>
                      </a:prstGeom>
                      <a:solidFill>
                        <a:srgbClr val="2F5597">
                          <a:lumMod val="75000"/>
                        </a:srgbClr>
                      </a:solidFill>
                      <a:ln w="6350">
                        <a:solidFill>
                          <a:srgbClr val="2F5597">
                            <a:lumMod val="75000"/>
                          </a:srgbClr>
                        </a:solidFill>
                      </a:ln>
                      <a:effectLst/>
                    </wps:spPr>
                    <wps:txbx>
                      <w:txbxContent>
                        <w:p>
                          <w:pPr>
                            <w:ind w:right="480"/>
                            <w:jc w:val="right"/>
                            <w:rPr>
                              <w:rFonts w:ascii="微软雅黑" w:hAnsi="微软雅黑" w:cs="微软雅黑"/>
                              <w:b/>
                              <w:bCs/>
                              <w:color w:val="FFFFFF" w:themeColor="background1"/>
                              <w14:textFill>
                                <w14:solidFill>
                                  <w14:schemeClr w14:val="bg1"/>
                                </w14:solidFill>
                              </w14:textFill>
                            </w:rPr>
                          </w:pPr>
                          <w:r>
                            <w:rPr>
                              <w:rFonts w:ascii="微软雅黑" w:hAnsi="微软雅黑" w:cs="微软雅黑"/>
                              <w:b/>
                              <w:bCs/>
                              <w:color w:val="FFFFFF" w:themeColor="background1"/>
                              <w14:textFill>
                                <w14:solidFill>
                                  <w14:schemeClr w14:val="bg1"/>
                                </w14:solidFill>
                              </w14:textFill>
                            </w:rPr>
                            <w:t>长安</w:t>
                          </w:r>
                          <w:r>
                            <w:rPr>
                              <w:rFonts w:hint="eastAsia" w:ascii="微软雅黑" w:hAnsi="微软雅黑" w:cs="微软雅黑"/>
                              <w:b/>
                              <w:bCs/>
                              <w:color w:val="FFFFFF" w:themeColor="background1"/>
                              <w14:textFill>
                                <w14:solidFill>
                                  <w14:schemeClr w14:val="bg1"/>
                                </w14:solidFill>
                              </w14:textFill>
                            </w:rPr>
                            <w:t>研究-农产品日报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68.85pt;margin-top:1.6pt;height:27.35pt;width:147.65pt;mso-position-horizontal-relative:margin;z-index:251659264;v-text-anchor:middle;mso-width-relative:page;mso-height-relative:page;" fillcolor="#234071" filled="t" stroked="t" coordsize="21600,21600" o:gfxdata="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p/f0v2AAAAAgBAAAPAAAAAAAAAAEAIAAAACIAAABkcnMvZG93bnJl&#10;di54bWxQSwECFAAUAAAACACHTuJAdZnmz28CAAAMBQAADgAAAAAAAAABACAAAAAnAQAAZHJzL2Uy&#10;b0RvYy54bWxQSwUGAAAAAAYABgBZAQAACAYAAAAA&#10;">
              <v:fill on="t" focussize="0,0"/>
              <v:stroke weight="0.5pt" color="#234071" joinstyle="round"/>
              <v:imagedata o:title=""/>
              <o:lock v:ext="edit" aspectratio="f"/>
              <v:textbox>
                <w:txbxContent>
                  <w:p>
                    <w:pPr>
                      <w:ind w:right="480"/>
                      <w:jc w:val="right"/>
                      <w:rPr>
                        <w:rFonts w:ascii="微软雅黑" w:hAnsi="微软雅黑" w:cs="微软雅黑"/>
                        <w:b/>
                        <w:bCs/>
                        <w:color w:val="FFFFFF" w:themeColor="background1"/>
                        <w14:textFill>
                          <w14:solidFill>
                            <w14:schemeClr w14:val="bg1"/>
                          </w14:solidFill>
                        </w14:textFill>
                      </w:rPr>
                    </w:pPr>
                    <w:r>
                      <w:rPr>
                        <w:rFonts w:ascii="微软雅黑" w:hAnsi="微软雅黑" w:cs="微软雅黑"/>
                        <w:b/>
                        <w:bCs/>
                        <w:color w:val="FFFFFF" w:themeColor="background1"/>
                        <w14:textFill>
                          <w14:solidFill>
                            <w14:schemeClr w14:val="bg1"/>
                          </w14:solidFill>
                        </w14:textFill>
                      </w:rPr>
                      <w:t>长安</w:t>
                    </w:r>
                    <w:r>
                      <w:rPr>
                        <w:rFonts w:hint="eastAsia" w:ascii="微软雅黑" w:hAnsi="微软雅黑" w:cs="微软雅黑"/>
                        <w:b/>
                        <w:bCs/>
                        <w:color w:val="FFFFFF" w:themeColor="background1"/>
                        <w14:textFill>
                          <w14:solidFill>
                            <w14:schemeClr w14:val="bg1"/>
                          </w14:solidFill>
                        </w14:textFill>
                      </w:rPr>
                      <w:t>研究-农产品日报</w:t>
                    </w:r>
                  </w:p>
                </w:txbxContent>
              </v:textbox>
            </v:shape>
          </w:pict>
        </mc:Fallback>
      </mc:AlternateContent>
    </w:r>
    <w:r>
      <w:drawing>
        <wp:inline distT="0" distB="0" distL="114300" distR="114300">
          <wp:extent cx="1242060" cy="357505"/>
          <wp:effectExtent l="0" t="0" r="15240" b="4445"/>
          <wp:docPr id="5" name="图片 10"/>
          <wp:cNvGraphicFramePr/>
          <a:graphic xmlns:a="http://schemas.openxmlformats.org/drawingml/2006/main">
            <a:graphicData uri="http://schemas.openxmlformats.org/drawingml/2006/picture">
              <pic:pic xmlns:pic="http://schemas.openxmlformats.org/drawingml/2006/picture">
                <pic:nvPicPr>
                  <pic:cNvPr id="5" name="图片 10"/>
                  <pic:cNvPicPr/>
                </pic:nvPicPr>
                <pic:blipFill>
                  <a:blip r:embed="rId1"/>
                  <a:srcRect/>
                  <a:stretch>
                    <a:fillRect/>
                  </a:stretch>
                </pic:blipFill>
                <pic:spPr>
                  <a:xfrm>
                    <a:off x="0" y="0"/>
                    <a:ext cx="1242060" cy="357505"/>
                  </a:xfrm>
                  <a:prstGeom prst="rect">
                    <a:avLst/>
                  </a:prstGeom>
                  <a:noFill/>
                  <a:ln w="9525">
                    <a:noFill/>
                    <a:miter lim="800000"/>
                    <a:headEnd/>
                    <a:tailEnd/>
                  </a:ln>
                  <a:effectLst/>
                </pic:spPr>
              </pic:pic>
            </a:graphicData>
          </a:graphic>
        </wp:inline>
      </w:drawing>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NDdkYjI3Y2RiMmExMmM1Nzc4MzJjZjRjOGQ5ZGEifQ=="/>
  </w:docVars>
  <w:rsids>
    <w:rsidRoot w:val="004A3547"/>
    <w:rsid w:val="000D1D90"/>
    <w:rsid w:val="004A3547"/>
    <w:rsid w:val="007C6B71"/>
    <w:rsid w:val="00FB194E"/>
    <w:rsid w:val="00FC572A"/>
    <w:rsid w:val="017D3F35"/>
    <w:rsid w:val="017D4F5C"/>
    <w:rsid w:val="01AE12E6"/>
    <w:rsid w:val="02EA3D67"/>
    <w:rsid w:val="03A66646"/>
    <w:rsid w:val="03E047BB"/>
    <w:rsid w:val="045F0977"/>
    <w:rsid w:val="04627993"/>
    <w:rsid w:val="0522571D"/>
    <w:rsid w:val="05252E4E"/>
    <w:rsid w:val="052B4D40"/>
    <w:rsid w:val="052C5410"/>
    <w:rsid w:val="053D4693"/>
    <w:rsid w:val="05786424"/>
    <w:rsid w:val="05DE5985"/>
    <w:rsid w:val="060843FD"/>
    <w:rsid w:val="08DD338F"/>
    <w:rsid w:val="09740E87"/>
    <w:rsid w:val="0A4B5BF7"/>
    <w:rsid w:val="0A4F4D43"/>
    <w:rsid w:val="0A523820"/>
    <w:rsid w:val="0A6B2E6B"/>
    <w:rsid w:val="0A7D5AFF"/>
    <w:rsid w:val="0AA74BC7"/>
    <w:rsid w:val="0B26688E"/>
    <w:rsid w:val="0CAC64B7"/>
    <w:rsid w:val="0CB952B6"/>
    <w:rsid w:val="0D4D65BC"/>
    <w:rsid w:val="0E72109C"/>
    <w:rsid w:val="0EAB350E"/>
    <w:rsid w:val="0ED53712"/>
    <w:rsid w:val="0F3D5096"/>
    <w:rsid w:val="10722423"/>
    <w:rsid w:val="10D93867"/>
    <w:rsid w:val="116F23E8"/>
    <w:rsid w:val="12990BBE"/>
    <w:rsid w:val="15641F41"/>
    <w:rsid w:val="1576376F"/>
    <w:rsid w:val="15D1307A"/>
    <w:rsid w:val="167D6148"/>
    <w:rsid w:val="16E50F0B"/>
    <w:rsid w:val="16F40A5F"/>
    <w:rsid w:val="18455E06"/>
    <w:rsid w:val="188E1B4C"/>
    <w:rsid w:val="191A70DD"/>
    <w:rsid w:val="196B16E7"/>
    <w:rsid w:val="197D6BE5"/>
    <w:rsid w:val="19C332D1"/>
    <w:rsid w:val="1B2C0881"/>
    <w:rsid w:val="1C56007A"/>
    <w:rsid w:val="1CA20CE4"/>
    <w:rsid w:val="1D1B1464"/>
    <w:rsid w:val="1D340FDD"/>
    <w:rsid w:val="1DDF6B70"/>
    <w:rsid w:val="1E2A3EE5"/>
    <w:rsid w:val="1E2F362A"/>
    <w:rsid w:val="1EDA387F"/>
    <w:rsid w:val="1F152820"/>
    <w:rsid w:val="1FE85338"/>
    <w:rsid w:val="201C31DA"/>
    <w:rsid w:val="20DB6D36"/>
    <w:rsid w:val="215644FB"/>
    <w:rsid w:val="215A6D63"/>
    <w:rsid w:val="21CC4F3A"/>
    <w:rsid w:val="22427548"/>
    <w:rsid w:val="225C486C"/>
    <w:rsid w:val="2272065E"/>
    <w:rsid w:val="238735C1"/>
    <w:rsid w:val="239F2486"/>
    <w:rsid w:val="23F87053"/>
    <w:rsid w:val="24676A7F"/>
    <w:rsid w:val="247F59E4"/>
    <w:rsid w:val="254F6CE9"/>
    <w:rsid w:val="257E3A89"/>
    <w:rsid w:val="25E82B58"/>
    <w:rsid w:val="26BA5991"/>
    <w:rsid w:val="279D33B3"/>
    <w:rsid w:val="280508ED"/>
    <w:rsid w:val="283111E8"/>
    <w:rsid w:val="28E30356"/>
    <w:rsid w:val="29256367"/>
    <w:rsid w:val="292A6EC8"/>
    <w:rsid w:val="2AB91963"/>
    <w:rsid w:val="2AFF326E"/>
    <w:rsid w:val="2B1F4B10"/>
    <w:rsid w:val="2BA51537"/>
    <w:rsid w:val="2C0F5663"/>
    <w:rsid w:val="2C177BD6"/>
    <w:rsid w:val="2C294CBA"/>
    <w:rsid w:val="2C73502A"/>
    <w:rsid w:val="2E992655"/>
    <w:rsid w:val="2ED02C69"/>
    <w:rsid w:val="2EDD5046"/>
    <w:rsid w:val="2EF44010"/>
    <w:rsid w:val="2F3C050B"/>
    <w:rsid w:val="2F8A43DA"/>
    <w:rsid w:val="301B7CFD"/>
    <w:rsid w:val="33283376"/>
    <w:rsid w:val="33B12EEC"/>
    <w:rsid w:val="33F57CAD"/>
    <w:rsid w:val="343728ED"/>
    <w:rsid w:val="34C64810"/>
    <w:rsid w:val="355F614C"/>
    <w:rsid w:val="357B0D3F"/>
    <w:rsid w:val="3657293F"/>
    <w:rsid w:val="366559E4"/>
    <w:rsid w:val="36D676A5"/>
    <w:rsid w:val="38127598"/>
    <w:rsid w:val="38AF3476"/>
    <w:rsid w:val="38D83E54"/>
    <w:rsid w:val="397746B4"/>
    <w:rsid w:val="39D864CC"/>
    <w:rsid w:val="3A3674BA"/>
    <w:rsid w:val="3A3C3770"/>
    <w:rsid w:val="3B295E5E"/>
    <w:rsid w:val="3B491D47"/>
    <w:rsid w:val="3BB016EF"/>
    <w:rsid w:val="3C534D60"/>
    <w:rsid w:val="3CBA6AD6"/>
    <w:rsid w:val="3D1C4A50"/>
    <w:rsid w:val="3DB9548D"/>
    <w:rsid w:val="3DC45D47"/>
    <w:rsid w:val="3DC51E02"/>
    <w:rsid w:val="3E3F09F0"/>
    <w:rsid w:val="3F6E0B15"/>
    <w:rsid w:val="3F8E10D8"/>
    <w:rsid w:val="4019541B"/>
    <w:rsid w:val="40224B90"/>
    <w:rsid w:val="40587C82"/>
    <w:rsid w:val="40625A7C"/>
    <w:rsid w:val="40A040B4"/>
    <w:rsid w:val="41220B18"/>
    <w:rsid w:val="418A6C9F"/>
    <w:rsid w:val="420277AD"/>
    <w:rsid w:val="42290450"/>
    <w:rsid w:val="431E2E09"/>
    <w:rsid w:val="43D946E6"/>
    <w:rsid w:val="43F3462F"/>
    <w:rsid w:val="440B3C07"/>
    <w:rsid w:val="459934D9"/>
    <w:rsid w:val="459C267D"/>
    <w:rsid w:val="47272FEE"/>
    <w:rsid w:val="47D806DD"/>
    <w:rsid w:val="47F30534"/>
    <w:rsid w:val="485A3E10"/>
    <w:rsid w:val="48952158"/>
    <w:rsid w:val="49E078DD"/>
    <w:rsid w:val="4AB10CFD"/>
    <w:rsid w:val="4B0335EA"/>
    <w:rsid w:val="4B441B92"/>
    <w:rsid w:val="4B8506AF"/>
    <w:rsid w:val="4C383159"/>
    <w:rsid w:val="4DA51562"/>
    <w:rsid w:val="4E10679A"/>
    <w:rsid w:val="4FA45FB8"/>
    <w:rsid w:val="50BB1210"/>
    <w:rsid w:val="510F099E"/>
    <w:rsid w:val="51925C5D"/>
    <w:rsid w:val="51A12C1F"/>
    <w:rsid w:val="53176B7B"/>
    <w:rsid w:val="539811D9"/>
    <w:rsid w:val="540C4B55"/>
    <w:rsid w:val="549C5D84"/>
    <w:rsid w:val="54CF69F2"/>
    <w:rsid w:val="560A0D83"/>
    <w:rsid w:val="579F3D8B"/>
    <w:rsid w:val="580F2F12"/>
    <w:rsid w:val="597432D9"/>
    <w:rsid w:val="59B844E8"/>
    <w:rsid w:val="5AF81C01"/>
    <w:rsid w:val="5D4E0A4F"/>
    <w:rsid w:val="5E8F6300"/>
    <w:rsid w:val="5EBD3CCB"/>
    <w:rsid w:val="5FEB5853"/>
    <w:rsid w:val="5FF8453D"/>
    <w:rsid w:val="601A3555"/>
    <w:rsid w:val="602C4CF9"/>
    <w:rsid w:val="606A5002"/>
    <w:rsid w:val="60D96424"/>
    <w:rsid w:val="61343382"/>
    <w:rsid w:val="62074C14"/>
    <w:rsid w:val="627C644A"/>
    <w:rsid w:val="62825E8E"/>
    <w:rsid w:val="62B876E3"/>
    <w:rsid w:val="62C54F90"/>
    <w:rsid w:val="63971E33"/>
    <w:rsid w:val="65041799"/>
    <w:rsid w:val="657A02B4"/>
    <w:rsid w:val="6588381D"/>
    <w:rsid w:val="661F72F3"/>
    <w:rsid w:val="66431E05"/>
    <w:rsid w:val="66FE2A3B"/>
    <w:rsid w:val="67054052"/>
    <w:rsid w:val="67A930D3"/>
    <w:rsid w:val="684E6143"/>
    <w:rsid w:val="68C22E69"/>
    <w:rsid w:val="6951232A"/>
    <w:rsid w:val="6A130BAB"/>
    <w:rsid w:val="6A537270"/>
    <w:rsid w:val="6B106716"/>
    <w:rsid w:val="6CCE7137"/>
    <w:rsid w:val="6E2A0193"/>
    <w:rsid w:val="6E536972"/>
    <w:rsid w:val="6F31637F"/>
    <w:rsid w:val="6FD73476"/>
    <w:rsid w:val="70223A22"/>
    <w:rsid w:val="7057104A"/>
    <w:rsid w:val="70683043"/>
    <w:rsid w:val="709C5B4A"/>
    <w:rsid w:val="71123A97"/>
    <w:rsid w:val="71627700"/>
    <w:rsid w:val="716E1FDA"/>
    <w:rsid w:val="722F4C9B"/>
    <w:rsid w:val="725F798A"/>
    <w:rsid w:val="728A03C3"/>
    <w:rsid w:val="73CD2B97"/>
    <w:rsid w:val="73DE6210"/>
    <w:rsid w:val="744D3038"/>
    <w:rsid w:val="748F131E"/>
    <w:rsid w:val="74CF6D1D"/>
    <w:rsid w:val="77603B0D"/>
    <w:rsid w:val="77F4039A"/>
    <w:rsid w:val="78F63C9E"/>
    <w:rsid w:val="7901500E"/>
    <w:rsid w:val="79391FE4"/>
    <w:rsid w:val="7A880620"/>
    <w:rsid w:val="7B4930EE"/>
    <w:rsid w:val="7B4E1B6F"/>
    <w:rsid w:val="7B767318"/>
    <w:rsid w:val="7BA61C6A"/>
    <w:rsid w:val="7C4344A2"/>
    <w:rsid w:val="7C521785"/>
    <w:rsid w:val="7CD84769"/>
    <w:rsid w:val="7CDC6375"/>
    <w:rsid w:val="7CED53B8"/>
    <w:rsid w:val="7E3A5257"/>
    <w:rsid w:val="7E5434A9"/>
    <w:rsid w:val="7E9F24D2"/>
    <w:rsid w:val="7F523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400" w:after="400"/>
      <w:outlineLvl w:val="0"/>
    </w:pPr>
    <w:rPr>
      <w:b/>
      <w:bCs/>
      <w:kern w:val="44"/>
      <w:sz w:val="28"/>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paragraph" w:styleId="6">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1330</Words>
  <Characters>1460</Characters>
  <Lines>23</Lines>
  <Paragraphs>6</Paragraphs>
  <TotalTime>1</TotalTime>
  <ScaleCrop>false</ScaleCrop>
  <LinksUpToDate>false</LinksUpToDate>
  <CharactersWithSpaces>1462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行云流水</cp:lastModifiedBy>
  <dcterms:modified xsi:type="dcterms:W3CDTF">2022-05-10T00:47:35Z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15C9462B689B45E4813D69A2EB616E67</vt:lpwstr>
  </property>
  <property fmtid="{D5CDD505-2E9C-101B-9397-08002B2CF9AE}" pid="4" name="commondata">
    <vt:lpwstr>eyJoZGlkIjoiZjdhNDdkYjI3Y2RiMmExMmM1Nzc4MzJjZjRjOGQ5ZGEifQ==</vt:lpwstr>
  </property>
</Properties>
</file>