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jc w:val="center"/>
        <w:rPr>
          <w:rFonts w:hint="eastAsia" w:eastAsia="宋体" w:asciiTheme="majorHAnsi" w:hAnsiTheme="majorHAnsi" w:cstheme="majorBidi"/>
          <w:b/>
          <w:bCs/>
          <w:sz w:val="32"/>
          <w:szCs w:val="32"/>
          <w:lang w:eastAsia="zh-CN"/>
        </w:rPr>
      </w:pPr>
      <w:r>
        <w:rPr>
          <w:rFonts w:hint="eastAsia" w:eastAsia="宋体" w:asciiTheme="majorHAnsi" w:hAnsiTheme="majorHAnsi" w:cstheme="majorBidi"/>
          <w:b/>
          <w:bCs/>
          <w:sz w:val="32"/>
          <w:szCs w:val="32"/>
        </w:rPr>
        <w:t>农产品期货日报</w:t>
      </w:r>
      <w:r>
        <w:rPr>
          <w:rFonts w:hint="eastAsia" w:eastAsia="宋体" w:asciiTheme="majorHAnsi" w:hAnsiTheme="majorHAnsi" w:cstheme="majorBidi"/>
          <w:b/>
          <w:bCs/>
          <w:sz w:val="32"/>
          <w:szCs w:val="32"/>
          <w:lang w:eastAsia="zh-CN"/>
        </w:rPr>
        <w:t>（</w:t>
      </w:r>
      <w:r>
        <w:rPr>
          <w:rFonts w:hint="eastAsia" w:eastAsia="宋体" w:asciiTheme="majorHAnsi" w:hAnsiTheme="majorHAnsi" w:cstheme="majorBidi"/>
          <w:b/>
          <w:bCs/>
          <w:sz w:val="32"/>
          <w:szCs w:val="32"/>
          <w:lang w:val="en-US" w:eastAsia="zh-CN"/>
        </w:rPr>
        <w:t>2022.5.10</w:t>
      </w:r>
      <w:r>
        <w:rPr>
          <w:rFonts w:hint="eastAsia" w:eastAsia="宋体" w:asciiTheme="majorHAnsi" w:hAnsiTheme="majorHAnsi" w:cstheme="majorBidi"/>
          <w:b/>
          <w:bCs/>
          <w:sz w:val="32"/>
          <w:szCs w:val="32"/>
          <w:lang w:eastAsia="zh-CN"/>
        </w:rPr>
        <w:t>）</w:t>
      </w:r>
    </w:p>
    <w:tbl>
      <w:tblPr>
        <w:tblStyle w:val="8"/>
        <w:tblW w:w="8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139"/>
        <w:gridCol w:w="33"/>
        <w:gridCol w:w="1080"/>
        <w:gridCol w:w="93"/>
        <w:gridCol w:w="1174"/>
        <w:gridCol w:w="38"/>
        <w:gridCol w:w="1136"/>
        <w:gridCol w:w="184"/>
        <w:gridCol w:w="990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501" w:type="dxa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品种</w:t>
            </w:r>
          </w:p>
        </w:tc>
        <w:tc>
          <w:tcPr>
            <w:tcW w:w="1139" w:type="dxa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T-1日收盘价</w:t>
            </w:r>
          </w:p>
        </w:tc>
        <w:tc>
          <w:tcPr>
            <w:tcW w:w="1113" w:type="dxa"/>
            <w:gridSpan w:val="2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T-2日收盘价</w:t>
            </w:r>
          </w:p>
        </w:tc>
        <w:tc>
          <w:tcPr>
            <w:tcW w:w="1305" w:type="dxa"/>
            <w:gridSpan w:val="3"/>
            <w:shd w:val="clear" w:color="auto" w:fill="4472C4" w:themeFill="accent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涨跌值</w:t>
            </w:r>
          </w:p>
        </w:tc>
        <w:tc>
          <w:tcPr>
            <w:tcW w:w="1320" w:type="dxa"/>
            <w:gridSpan w:val="2"/>
            <w:shd w:val="clear" w:color="auto" w:fill="4472C4" w:themeFill="accent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幅度</w:t>
            </w:r>
          </w:p>
        </w:tc>
        <w:tc>
          <w:tcPr>
            <w:tcW w:w="990" w:type="dxa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月度最低价</w:t>
            </w:r>
          </w:p>
        </w:tc>
        <w:tc>
          <w:tcPr>
            <w:tcW w:w="1172" w:type="dxa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月度最高价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生猪09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18955 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19155 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B05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-200 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B05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-1.04%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16640 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行情</w:t>
            </w:r>
          </w:p>
        </w:tc>
        <w:tc>
          <w:tcPr>
            <w:tcW w:w="7039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现货连续上涨期货主力合约微幅回调，技术面上或仍有做多行情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ind w:firstLine="420" w:firstLineChars="200"/>
            </w:pPr>
          </w:p>
        </w:tc>
        <w:tc>
          <w:tcPr>
            <w:tcW w:w="7039" w:type="dxa"/>
            <w:gridSpan w:val="10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情方面，据养猪网数据显示，生猪（外三元）全国价格连续反弹，5月10日报得15.31元/公斤，较周末上涨0.29元/公斤。饲料农作物方面，5月10日玉米价格报得2873元/吨，较前日上涨3元/吨，维持震荡水平；豆粕价格报得4622元/吨，较前日下跌27元/公斤，5月以来已累计下跌134元/吨。5月10日猪粮比报得5.33，相较昨日5.23有明显上涨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息层面，中粮家佳康(01610)发布公告，于2022年4月，生猪出栏量36.8万头，环比减少7.54%;商品猪销售均价12.76元/公斤;生鲜猪肉销量1.7万吨;生鲜猪肉业务中品牌收入占比34.86%。于2022年1-4月，生猪出栏量152.6万头。罗牛山(000735)5月10日晚间公告，4月销售生猪5.09万头，销售收入1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亿元，环比变动分别为48.18%、51.29%，同比变动分别为69.32%、58.99%。1-4月，累计销售生猪15.47万头，同比增长41.52%；累计销售收入3.95亿元，同比增长15.93%。唐人神2022年4月生猪销量16.55万头(其中商品猪13万头，仔猪3.55万头)，2021年4月生猪销量12.41万头(其中商品猪5.17万头，仔猪7.24万头)，同比上升33.36%，环比上升26.72%;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"https://www.chinaipo.com/tag/7553_1.html" \t "https://www.chinaipo.com/news/_blank" </w:instrTex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销售收入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合计20,329万元，同比下降11.46%，环比上升36.41%。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货行情方面，昨日助力合约LH2209微幅回调，但成交量明显缩小，说明做空信心不强。从技术面而言，4月29日到5月9日区间期价构成明显支撑平台，均线也已形成多头排列，短期来看生猪期货或仍有逢低做多行情，注意期价在前高附近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501" w:type="dxa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品种</w:t>
            </w:r>
          </w:p>
        </w:tc>
        <w:tc>
          <w:tcPr>
            <w:tcW w:w="1172" w:type="dxa"/>
            <w:gridSpan w:val="2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T-</w:t>
            </w: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日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收盘价</w:t>
            </w:r>
          </w:p>
        </w:tc>
        <w:tc>
          <w:tcPr>
            <w:tcW w:w="1173" w:type="dxa"/>
            <w:gridSpan w:val="2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T-</w:t>
            </w: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日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收盘价</w:t>
            </w:r>
          </w:p>
        </w:tc>
        <w:tc>
          <w:tcPr>
            <w:tcW w:w="1174" w:type="dxa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涨跌值</w:t>
            </w:r>
          </w:p>
        </w:tc>
        <w:tc>
          <w:tcPr>
            <w:tcW w:w="1174" w:type="dxa"/>
            <w:gridSpan w:val="2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幅度</w:t>
            </w:r>
          </w:p>
        </w:tc>
        <w:tc>
          <w:tcPr>
            <w:tcW w:w="1174" w:type="dxa"/>
            <w:gridSpan w:val="2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月度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最低价</w:t>
            </w:r>
          </w:p>
        </w:tc>
        <w:tc>
          <w:tcPr>
            <w:tcW w:w="1172" w:type="dxa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月度最高价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美玉米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07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775.75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772.50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3.25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0.42%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769.00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824.50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玉米0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2964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2988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B05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B05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B05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B050"/>
                <w:sz w:val="24"/>
                <w:szCs w:val="24"/>
                <w:vertAlign w:val="baseline"/>
                <w:lang w:val="en-US" w:eastAsia="zh-CN"/>
              </w:rPr>
              <w:t>0.80%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2919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行情</w:t>
            </w:r>
          </w:p>
        </w:tc>
        <w:tc>
          <w:tcPr>
            <w:tcW w:w="7039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连盘玉米震荡偏弱，盘中关注2950一线支撑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ind w:firstLine="420" w:firstLineChars="0"/>
              <w:jc w:val="center"/>
            </w:pPr>
          </w:p>
        </w:tc>
        <w:tc>
          <w:tcPr>
            <w:tcW w:w="7039" w:type="dxa"/>
            <w:gridSpan w:val="10"/>
            <w:vAlign w:val="center"/>
          </w:tcPr>
          <w:p>
            <w:pPr>
              <w:tabs>
                <w:tab w:val="left" w:pos="722"/>
              </w:tabs>
              <w:spacing w:line="360" w:lineRule="auto"/>
              <w:ind w:firstLine="420" w:firstLineChars="2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美玉米昨日走强，因美国玉米种植进度落后于历史平均水平，但涨幅受限。连盘玉米多头减仓价格下跌，盘中最低触及2947的近阶段低位。基本面上，当前东北余粮逐步见底，贸易商持粮待涨，价格偏强运行，华北余粮不足，农户惜售，深加工企业库存持续消耗，仍有补库需求，叠加倒车量少，价格亦偏强。南方贸易商挺价，价格偏强，但饲料企业需求少。整体来看，供应端余粮不足以及惜售情绪导致价格偏强，需求提振有限，但鉴于当前期货存在升水，继续上涨乏力。短期关注2950一线支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501" w:type="dxa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品种</w:t>
            </w:r>
          </w:p>
        </w:tc>
        <w:tc>
          <w:tcPr>
            <w:tcW w:w="1172" w:type="dxa"/>
            <w:gridSpan w:val="2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T-</w:t>
            </w: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日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收盘价</w:t>
            </w:r>
          </w:p>
        </w:tc>
        <w:tc>
          <w:tcPr>
            <w:tcW w:w="1173" w:type="dxa"/>
            <w:gridSpan w:val="2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T-</w:t>
            </w: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日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收盘价</w:t>
            </w:r>
          </w:p>
        </w:tc>
        <w:tc>
          <w:tcPr>
            <w:tcW w:w="1174" w:type="dxa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涨跌值</w:t>
            </w:r>
          </w:p>
        </w:tc>
        <w:tc>
          <w:tcPr>
            <w:tcW w:w="1174" w:type="dxa"/>
            <w:gridSpan w:val="2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幅度</w:t>
            </w:r>
          </w:p>
        </w:tc>
        <w:tc>
          <w:tcPr>
            <w:tcW w:w="1174" w:type="dxa"/>
            <w:gridSpan w:val="2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月度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最低价</w:t>
            </w:r>
          </w:p>
        </w:tc>
        <w:tc>
          <w:tcPr>
            <w:tcW w:w="1172" w:type="dxa"/>
            <w:shd w:val="clear" w:color="auto" w:fill="4472C4" w:themeFill="accent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月度最高价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原糖07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18.51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18.62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70AD47" w:themeColor="accent6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0AD47" w:themeColor="accent6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0.09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0AD47" w:themeColor="accent6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0AD47" w:themeColor="accent6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0.48%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18.51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白糖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5819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5860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70AD47" w:themeColor="accent6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0AD47" w:themeColor="accent6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41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0AD47" w:themeColor="accent6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0AD47" w:themeColor="accent6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0.70%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5805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行情</w:t>
            </w:r>
          </w:p>
        </w:tc>
        <w:tc>
          <w:tcPr>
            <w:tcW w:w="7039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4月产销数据仍处近年低位，盘中关注5800一线支撑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ind w:firstLine="420" w:firstLineChars="0"/>
              <w:jc w:val="center"/>
            </w:pPr>
          </w:p>
        </w:tc>
        <w:tc>
          <w:tcPr>
            <w:tcW w:w="7039" w:type="dxa"/>
            <w:gridSpan w:val="10"/>
            <w:vAlign w:val="center"/>
          </w:tcPr>
          <w:p>
            <w:pPr>
              <w:tabs>
                <w:tab w:val="left" w:pos="722"/>
              </w:tabs>
              <w:spacing w:line="360" w:lineRule="auto"/>
              <w:ind w:firstLine="420" w:firstLineChars="2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国际方面，昨日原糖跌至近两月来的最低水平，因市场担忧需求不足，且2022-23年度亚洲产量预计增长。消息方面，巴西甘蔗行业协会数据显示，4月下半月巴西中南部地区糖产量为93.40万吨，同比减少38.7%，但高于市场预估。国内而言，最新数据显示，截至4月底2021/22年制糖期全国已累计产糖935.05万吨，累计销售食糖443.67万吨，累计销糖率47.45%，同比略高于去年同期，但整体处于近几年低位，消费仍不乐观。同时，原糖下跌或继续施压郑糖，日内关注5800的支撑力度。</w:t>
            </w:r>
          </w:p>
        </w:tc>
      </w:tr>
    </w:tbl>
    <w:p/>
    <w:p>
      <w:pPr>
        <w:pStyle w:val="2"/>
        <w:pageBreakBefore/>
        <w:tabs>
          <w:tab w:val="left" w:pos="2257"/>
        </w:tabs>
        <w:spacing w:line="720" w:lineRule="auto"/>
        <w:rPr>
          <w:color w:val="002060"/>
          <w:sz w:val="32"/>
          <w:szCs w:val="32"/>
        </w:rPr>
      </w:pPr>
      <w:r>
        <w:rPr>
          <w:rFonts w:hint="eastAsia" w:ascii="楷体" w:hAnsi="楷体" w:eastAsia="楷体" w:cs="楷体"/>
          <w:color w:val="002060"/>
          <w:sz w:val="32"/>
          <w:szCs w:val="32"/>
        </w:rPr>
        <w:t>免责声明</w:t>
      </w:r>
    </w:p>
    <w:p>
      <w:pPr>
        <w:ind w:left="-141" w:leftChars="-67" w:firstLine="468" w:firstLineChars="223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 xml:space="preserve">本报告基于已公开的信息编制，但对信息的准确性及完整性不作任何保证。本公司力求报告内容客观、公正，但本报告所载的观点、结论和建议仅供参考，不构成个人投资建议。投资者应当充分考虑自身投资经历及习惯、风险承受能力等实际情况，并完整理解和使用本报告内容，不能依靠本报告以取代独立判断。对投资者依据或者使用本报告所造成的一切后果，本公司及作者均不承担任何法律责任。 </w:t>
      </w:r>
    </w:p>
    <w:p>
      <w:pPr>
        <w:ind w:left="-141" w:leftChars="-67" w:firstLine="468" w:firstLineChars="223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 xml:space="preserve">本报告所载的意见、结论及预测仅反映报告发布当日的观点和判断。在不同时期，本公司可能会发出与本报告所载意见、评估及预测不一致的研究报告。本公司不保证本报告所含信息保持在最新状态。本公司对本报告所含信息可在不发出通知的情形下做出修改，投资者应当自行关注相应的更新或修改。 </w:t>
      </w:r>
    </w:p>
    <w:p>
      <w:pPr>
        <w:ind w:left="-141" w:leftChars="-67" w:firstLine="468" w:firstLineChars="223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长安期货有限公司版权所有并保留一切权利。未经本公司书面许可，任何机构或个人不得以翻版、复制、发表、引用或再次分发他人等任何形式侵犯本公司版权。如征得本公司同意进行引用、刊发的，需在允许的范围内使用，并注明出处为“长安期货投资咨询部”，且不得对本报告进行任何有悖原意的引用、删节和修改。本公司保留追究相关责任的权力。所有本报告中使用的商标、服务标记及标记均为本公司的商标、服务标记及标记。</w:t>
      </w:r>
    </w:p>
    <w:p>
      <w:pPr>
        <w:spacing w:line="360" w:lineRule="auto"/>
        <w:jc w:val="left"/>
        <w:rPr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45085</wp:posOffset>
              </wp:positionH>
              <wp:positionV relativeFrom="paragraph">
                <wp:posOffset>213360</wp:posOffset>
              </wp:positionV>
              <wp:extent cx="5219700" cy="11430"/>
              <wp:effectExtent l="0" t="0" r="0" b="0"/>
              <wp:wrapNone/>
              <wp:docPr id="26" name="直接连接符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1143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3.55pt;margin-top:16.8pt;height:0.9pt;width:411pt;mso-position-horizontal-relative:margin;z-index:251660288;mso-width-relative:page;mso-height-relative:page;" filled="f" stroked="t" coordsize="21600,21600" o:gfxdata="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aZ&#10;43bWAAAABwEAAA8AAAAAAAAAAQAgAAAAIgAAAGRycy9kb3ducmV2LnhtbFBLAQIUABQAAAAIAIdO&#10;4kB9M34R7AEAAMYDAAAOAAAAAAAAAAEAIAAAACUBAABkcnMvZTJvRG9jLnhtbFBLBQYAAAAABgAG&#10;AFkBAACDBQAAAAA=&#10;">
              <v:fill on="f" focussize="0,0"/>
              <v:stroke weight="1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仿宋" w:hAnsi="仿宋" w:eastAsia="仿宋" w:cs="仿宋"/>
      </w:rPr>
      <w:t xml:space="preserve">请务必阅读正文后的免责声明部分！                                 </w:t>
    </w:r>
    <w:r>
      <w:rPr>
        <w:rFonts w:hint="eastAsia" w:ascii="楷体" w:hAnsi="楷体" w:eastAsia="楷体" w:cs="楷体"/>
        <w:color w:val="FFC000"/>
        <w:sz w:val="22"/>
        <w:szCs w:val="36"/>
      </w:rPr>
      <w:t>放心的选择 贴心的服务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000080" w:sz="4" w:space="1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3414395</wp:posOffset>
              </wp:positionH>
              <wp:positionV relativeFrom="paragraph">
                <wp:posOffset>20320</wp:posOffset>
              </wp:positionV>
              <wp:extent cx="1875155" cy="347345"/>
              <wp:effectExtent l="4445" t="4445" r="635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5155" cy="347345"/>
                      </a:xfrm>
                      <a:prstGeom prst="rect">
                        <a:avLst/>
                      </a:prstGeom>
                      <a:solidFill>
                        <a:srgbClr val="2F5597">
                          <a:lumMod val="75000"/>
                        </a:srgbClr>
                      </a:solidFill>
                      <a:ln w="6350">
                        <a:solidFill>
                          <a:srgbClr val="2F5597">
                            <a:lumMod val="75000"/>
                          </a:srgbClr>
                        </a:solidFill>
                      </a:ln>
                      <a:effectLst/>
                    </wps:spPr>
                    <wps:txbx>
                      <w:txbxContent>
                        <w:p>
                          <w:pPr>
                            <w:ind w:right="480"/>
                            <w:jc w:val="right"/>
                            <w:rPr>
                              <w:rFonts w:ascii="微软雅黑" w:hAnsi="微软雅黑" w:cs="微软雅黑"/>
                              <w:b/>
                              <w:bCs/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微软雅黑" w:hAnsi="微软雅黑" w:cs="微软雅黑"/>
                              <w:b/>
                              <w:bCs/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长安</w:t>
                          </w:r>
                          <w:r>
                            <w:rPr>
                              <w:rFonts w:hint="eastAsia" w:ascii="微软雅黑" w:hAnsi="微软雅黑" w:cs="微软雅黑"/>
                              <w:b/>
                              <w:bCs/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研究-农产品日报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8.85pt;margin-top:1.6pt;height:27.35pt;width:147.65pt;mso-position-horizontal-relative:margin;z-index:251659264;v-text-anchor:middle;mso-width-relative:page;mso-height-relative:page;" fillcolor="#234071" filled="t" stroked="t" coordsize="21600,21600" o:gfxdata="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p/f0v2AAAAAgBAAAPAAAAAAAAAAEAIAAAACIAAABkcnMvZG93bnJl&#10;di54bWxQSwECFAAUAAAACACHTuJAdZnmz28CAAAMBQAADgAAAAAAAAABACAAAAAnAQAAZHJzL2Uy&#10;b0RvYy54bWxQSwUGAAAAAAYABgBZAQAACAYAAAAA&#10;">
              <v:fill on="t" focussize="0,0"/>
              <v:stroke weight="0.5pt" color="#234071" joinstyle="round"/>
              <v:imagedata o:title=""/>
              <o:lock v:ext="edit" aspectratio="f"/>
              <v:textbox>
                <w:txbxContent>
                  <w:p>
                    <w:pPr>
                      <w:ind w:right="480"/>
                      <w:jc w:val="right"/>
                      <w:rPr>
                        <w:rFonts w:ascii="微软雅黑" w:hAnsi="微软雅黑" w:cs="微软雅黑"/>
                        <w:b/>
                        <w:bCs/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ascii="微软雅黑" w:hAnsi="微软雅黑" w:cs="微软雅黑"/>
                        <w:b/>
                        <w:bCs/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长安</w:t>
                    </w:r>
                    <w:r>
                      <w:rPr>
                        <w:rFonts w:hint="eastAsia" w:ascii="微软雅黑" w:hAnsi="微软雅黑" w:cs="微软雅黑"/>
                        <w:b/>
                        <w:bCs/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研究-农产品日报</w:t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1242060" cy="357505"/>
          <wp:effectExtent l="0" t="0" r="15240" b="4445"/>
          <wp:docPr id="5" name="图片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0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2060" cy="357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NDdkYjI3Y2RiMmExMmM1Nzc4MzJjZjRjOGQ5ZGEifQ=="/>
  </w:docVars>
  <w:rsids>
    <w:rsidRoot w:val="004A3547"/>
    <w:rsid w:val="000D1D90"/>
    <w:rsid w:val="004A3547"/>
    <w:rsid w:val="007C6B71"/>
    <w:rsid w:val="00FB194E"/>
    <w:rsid w:val="00FC572A"/>
    <w:rsid w:val="017D3F35"/>
    <w:rsid w:val="017D4F5C"/>
    <w:rsid w:val="01AE12E6"/>
    <w:rsid w:val="02EA3D67"/>
    <w:rsid w:val="03A66646"/>
    <w:rsid w:val="03E047BB"/>
    <w:rsid w:val="045F0977"/>
    <w:rsid w:val="04627993"/>
    <w:rsid w:val="0522571D"/>
    <w:rsid w:val="05252E4E"/>
    <w:rsid w:val="052B4D40"/>
    <w:rsid w:val="052C5410"/>
    <w:rsid w:val="053D4693"/>
    <w:rsid w:val="05786424"/>
    <w:rsid w:val="05DE5985"/>
    <w:rsid w:val="060843FD"/>
    <w:rsid w:val="08DD338F"/>
    <w:rsid w:val="09740E87"/>
    <w:rsid w:val="0A4B5BF7"/>
    <w:rsid w:val="0A4F4D43"/>
    <w:rsid w:val="0A523820"/>
    <w:rsid w:val="0A6B2E6B"/>
    <w:rsid w:val="0A7D5AFF"/>
    <w:rsid w:val="0AA74BC7"/>
    <w:rsid w:val="0B26688E"/>
    <w:rsid w:val="0CAC64B7"/>
    <w:rsid w:val="0CB952B6"/>
    <w:rsid w:val="0D4D65BC"/>
    <w:rsid w:val="0E72109C"/>
    <w:rsid w:val="0EAB350E"/>
    <w:rsid w:val="0ED53712"/>
    <w:rsid w:val="0F3D5096"/>
    <w:rsid w:val="10722423"/>
    <w:rsid w:val="10D93867"/>
    <w:rsid w:val="116F23E8"/>
    <w:rsid w:val="12990BBE"/>
    <w:rsid w:val="15641F41"/>
    <w:rsid w:val="1576376F"/>
    <w:rsid w:val="15D1307A"/>
    <w:rsid w:val="167D6148"/>
    <w:rsid w:val="16E50F0B"/>
    <w:rsid w:val="16F40A5F"/>
    <w:rsid w:val="18455E06"/>
    <w:rsid w:val="188E1B4C"/>
    <w:rsid w:val="191A70DD"/>
    <w:rsid w:val="196B16E7"/>
    <w:rsid w:val="197D6BE5"/>
    <w:rsid w:val="19C332D1"/>
    <w:rsid w:val="1B2C0881"/>
    <w:rsid w:val="1C56007A"/>
    <w:rsid w:val="1CA20CE4"/>
    <w:rsid w:val="1D1B1464"/>
    <w:rsid w:val="1D340FDD"/>
    <w:rsid w:val="1DDF6B70"/>
    <w:rsid w:val="1E2A3EE5"/>
    <w:rsid w:val="1E2F362A"/>
    <w:rsid w:val="1EDA387F"/>
    <w:rsid w:val="1F152820"/>
    <w:rsid w:val="1FE85338"/>
    <w:rsid w:val="201C31DA"/>
    <w:rsid w:val="20DB6D36"/>
    <w:rsid w:val="215644FB"/>
    <w:rsid w:val="215A6D63"/>
    <w:rsid w:val="21CC4F3A"/>
    <w:rsid w:val="22427548"/>
    <w:rsid w:val="225C486C"/>
    <w:rsid w:val="2272065E"/>
    <w:rsid w:val="238735C1"/>
    <w:rsid w:val="239F2486"/>
    <w:rsid w:val="23F87053"/>
    <w:rsid w:val="24676A7F"/>
    <w:rsid w:val="247F59E4"/>
    <w:rsid w:val="254F6CE9"/>
    <w:rsid w:val="257E3A89"/>
    <w:rsid w:val="25E82B58"/>
    <w:rsid w:val="26BA5991"/>
    <w:rsid w:val="279D33B3"/>
    <w:rsid w:val="280508ED"/>
    <w:rsid w:val="283111E8"/>
    <w:rsid w:val="28E30356"/>
    <w:rsid w:val="29256367"/>
    <w:rsid w:val="292A6EC8"/>
    <w:rsid w:val="2AB91963"/>
    <w:rsid w:val="2AFF326E"/>
    <w:rsid w:val="2B1F4B10"/>
    <w:rsid w:val="2BA51537"/>
    <w:rsid w:val="2C0F5663"/>
    <w:rsid w:val="2C177BD6"/>
    <w:rsid w:val="2C294CBA"/>
    <w:rsid w:val="2C73502A"/>
    <w:rsid w:val="2E992655"/>
    <w:rsid w:val="2ED02C69"/>
    <w:rsid w:val="2EDD5046"/>
    <w:rsid w:val="2EF44010"/>
    <w:rsid w:val="2F3C050B"/>
    <w:rsid w:val="2F8A43DA"/>
    <w:rsid w:val="301B7CFD"/>
    <w:rsid w:val="33283376"/>
    <w:rsid w:val="33B12EEC"/>
    <w:rsid w:val="33F57CAD"/>
    <w:rsid w:val="343728ED"/>
    <w:rsid w:val="34C64810"/>
    <w:rsid w:val="355F614C"/>
    <w:rsid w:val="357B0D3F"/>
    <w:rsid w:val="3657293F"/>
    <w:rsid w:val="366559E4"/>
    <w:rsid w:val="36D676A5"/>
    <w:rsid w:val="37B36233"/>
    <w:rsid w:val="38127598"/>
    <w:rsid w:val="38AF3476"/>
    <w:rsid w:val="38D83E54"/>
    <w:rsid w:val="397746B4"/>
    <w:rsid w:val="39D864CC"/>
    <w:rsid w:val="3A3674BA"/>
    <w:rsid w:val="3A3C3770"/>
    <w:rsid w:val="3B295E5E"/>
    <w:rsid w:val="3B491D47"/>
    <w:rsid w:val="3BB016EF"/>
    <w:rsid w:val="3C534D60"/>
    <w:rsid w:val="3CBA6AD6"/>
    <w:rsid w:val="3D1C4A50"/>
    <w:rsid w:val="3DB9548D"/>
    <w:rsid w:val="3DC45D47"/>
    <w:rsid w:val="3DC51E02"/>
    <w:rsid w:val="3E3F09F0"/>
    <w:rsid w:val="3F6E0B15"/>
    <w:rsid w:val="3F8E10D8"/>
    <w:rsid w:val="4019541B"/>
    <w:rsid w:val="40224B90"/>
    <w:rsid w:val="40587C82"/>
    <w:rsid w:val="40625A7C"/>
    <w:rsid w:val="40A040B4"/>
    <w:rsid w:val="41220B18"/>
    <w:rsid w:val="418A6C9F"/>
    <w:rsid w:val="420277AD"/>
    <w:rsid w:val="42290450"/>
    <w:rsid w:val="431E2E09"/>
    <w:rsid w:val="43D946E6"/>
    <w:rsid w:val="43F3462F"/>
    <w:rsid w:val="440B3C07"/>
    <w:rsid w:val="459934D9"/>
    <w:rsid w:val="459C267D"/>
    <w:rsid w:val="47272FEE"/>
    <w:rsid w:val="47D806DD"/>
    <w:rsid w:val="47F30534"/>
    <w:rsid w:val="485A3E10"/>
    <w:rsid w:val="48952158"/>
    <w:rsid w:val="49E078DD"/>
    <w:rsid w:val="4AB10CFD"/>
    <w:rsid w:val="4B0335EA"/>
    <w:rsid w:val="4B441B92"/>
    <w:rsid w:val="4B8506AF"/>
    <w:rsid w:val="4C383159"/>
    <w:rsid w:val="4DA51562"/>
    <w:rsid w:val="4E10679A"/>
    <w:rsid w:val="4FA45FB8"/>
    <w:rsid w:val="50BB1210"/>
    <w:rsid w:val="510F099E"/>
    <w:rsid w:val="51925C5D"/>
    <w:rsid w:val="51A12C1F"/>
    <w:rsid w:val="53176B7B"/>
    <w:rsid w:val="539811D9"/>
    <w:rsid w:val="540C4B55"/>
    <w:rsid w:val="549C5D84"/>
    <w:rsid w:val="54CF69F2"/>
    <w:rsid w:val="560A0D83"/>
    <w:rsid w:val="579F3D8B"/>
    <w:rsid w:val="580F2F12"/>
    <w:rsid w:val="597432D9"/>
    <w:rsid w:val="59B844E8"/>
    <w:rsid w:val="5AF81C01"/>
    <w:rsid w:val="5D4E0A4F"/>
    <w:rsid w:val="5E8F6300"/>
    <w:rsid w:val="5EBD3CCB"/>
    <w:rsid w:val="5FEB5853"/>
    <w:rsid w:val="5FF8453D"/>
    <w:rsid w:val="601A3555"/>
    <w:rsid w:val="602C4CF9"/>
    <w:rsid w:val="606A5002"/>
    <w:rsid w:val="60D96424"/>
    <w:rsid w:val="61343382"/>
    <w:rsid w:val="62074C14"/>
    <w:rsid w:val="627C644A"/>
    <w:rsid w:val="62825E8E"/>
    <w:rsid w:val="62B876E3"/>
    <w:rsid w:val="62C54F90"/>
    <w:rsid w:val="63971E33"/>
    <w:rsid w:val="65041799"/>
    <w:rsid w:val="657A02B4"/>
    <w:rsid w:val="6588381D"/>
    <w:rsid w:val="661F72F3"/>
    <w:rsid w:val="66431E05"/>
    <w:rsid w:val="66FE2A3B"/>
    <w:rsid w:val="67054052"/>
    <w:rsid w:val="67A930D3"/>
    <w:rsid w:val="684E6143"/>
    <w:rsid w:val="68C22E69"/>
    <w:rsid w:val="6951232A"/>
    <w:rsid w:val="6A130BAB"/>
    <w:rsid w:val="6A537270"/>
    <w:rsid w:val="6B106716"/>
    <w:rsid w:val="6CCE7137"/>
    <w:rsid w:val="6E2A0193"/>
    <w:rsid w:val="6E536972"/>
    <w:rsid w:val="6F31637F"/>
    <w:rsid w:val="6FD73476"/>
    <w:rsid w:val="70223A22"/>
    <w:rsid w:val="7057104A"/>
    <w:rsid w:val="70683043"/>
    <w:rsid w:val="709C5B4A"/>
    <w:rsid w:val="71123A97"/>
    <w:rsid w:val="71627700"/>
    <w:rsid w:val="716E1FDA"/>
    <w:rsid w:val="722F4C9B"/>
    <w:rsid w:val="725F798A"/>
    <w:rsid w:val="728A03C3"/>
    <w:rsid w:val="73CD2B97"/>
    <w:rsid w:val="73DE6210"/>
    <w:rsid w:val="744D3038"/>
    <w:rsid w:val="748F131E"/>
    <w:rsid w:val="74CF6D1D"/>
    <w:rsid w:val="76A21340"/>
    <w:rsid w:val="77603B0D"/>
    <w:rsid w:val="77F4039A"/>
    <w:rsid w:val="78F63C9E"/>
    <w:rsid w:val="7901500E"/>
    <w:rsid w:val="79391FE4"/>
    <w:rsid w:val="7A880620"/>
    <w:rsid w:val="7B4930EE"/>
    <w:rsid w:val="7B4E1B6F"/>
    <w:rsid w:val="7B767318"/>
    <w:rsid w:val="7BA61C6A"/>
    <w:rsid w:val="7C4344A2"/>
    <w:rsid w:val="7C521785"/>
    <w:rsid w:val="7CD84769"/>
    <w:rsid w:val="7CDC6375"/>
    <w:rsid w:val="7CED53B8"/>
    <w:rsid w:val="7E3A5257"/>
    <w:rsid w:val="7E5434A9"/>
    <w:rsid w:val="7E9F24D2"/>
    <w:rsid w:val="7F52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400"/>
      <w:outlineLvl w:val="0"/>
    </w:pPr>
    <w:rPr>
      <w:b/>
      <w:bCs/>
      <w:kern w:val="44"/>
      <w:sz w:val="28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1873</Words>
  <Characters>2093</Characters>
  <Lines>23</Lines>
  <Paragraphs>6</Paragraphs>
  <TotalTime>0</TotalTime>
  <ScaleCrop>false</ScaleCrop>
  <LinksUpToDate>false</LinksUpToDate>
  <CharactersWithSpaces>2100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行云流水</cp:lastModifiedBy>
  <dcterms:modified xsi:type="dcterms:W3CDTF">2022-05-11T00:36:45Z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15C9462B689B45E4813D69A2EB616E67</vt:lpwstr>
  </property>
  <property fmtid="{D5CDD505-2E9C-101B-9397-08002B2CF9AE}" pid="4" name="commondata">
    <vt:lpwstr>eyJoZGlkIjoiZjdhNDdkYjI3Y2RiMmExMmM1Nzc4MzJjZjRjOGQ5ZGEifQ==</vt:lpwstr>
  </property>
</Properties>
</file>